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FC0052" w14:textId="77777777" w:rsidR="00BA2695" w:rsidRDefault="00B5700A" w:rsidP="008C5400">
      <w:pPr>
        <w:spacing w:line="360" w:lineRule="auto"/>
        <w:jc w:val="center"/>
        <w:rPr>
          <w:rFonts w:ascii="Times" w:hAnsi="Times" w:cs="Times"/>
          <w:b/>
          <w:bCs/>
          <w:sz w:val="26"/>
          <w:szCs w:val="26"/>
        </w:rPr>
      </w:pPr>
      <w:r w:rsidRPr="002461E2">
        <w:rPr>
          <w:rFonts w:ascii="Times" w:hAnsi="Times" w:cs="Times"/>
          <w:b/>
          <w:bCs/>
          <w:sz w:val="26"/>
          <w:szCs w:val="26"/>
        </w:rPr>
        <w:t xml:space="preserve">Nota Técnica </w:t>
      </w:r>
      <w:r w:rsidR="00BA2695">
        <w:rPr>
          <w:rFonts w:ascii="Times" w:hAnsi="Times" w:cs="Times"/>
          <w:b/>
          <w:bCs/>
          <w:sz w:val="26"/>
          <w:szCs w:val="26"/>
        </w:rPr>
        <w:t>n</w:t>
      </w:r>
      <w:r w:rsidR="00245752" w:rsidRPr="002461E2">
        <w:rPr>
          <w:rFonts w:ascii="Times" w:hAnsi="Times" w:cs="Times"/>
          <w:b/>
          <w:bCs/>
          <w:sz w:val="26"/>
          <w:szCs w:val="26"/>
        </w:rPr>
        <w:t xml:space="preserve">. 01/2020 </w:t>
      </w:r>
      <w:r w:rsidRPr="002461E2">
        <w:rPr>
          <w:rFonts w:ascii="Times" w:hAnsi="Times" w:cs="Times"/>
          <w:b/>
          <w:bCs/>
          <w:sz w:val="26"/>
          <w:szCs w:val="26"/>
        </w:rPr>
        <w:t>- Comissões de Política sobre Drogas</w:t>
      </w:r>
    </w:p>
    <w:p w14:paraId="1D2FAA64" w14:textId="6DA52294" w:rsidR="00245752" w:rsidRPr="002461E2" w:rsidRDefault="00B5700A" w:rsidP="008C5400">
      <w:pPr>
        <w:spacing w:line="360" w:lineRule="auto"/>
        <w:jc w:val="center"/>
        <w:rPr>
          <w:rFonts w:ascii="Times" w:hAnsi="Times" w:cs="Times"/>
          <w:b/>
          <w:bCs/>
          <w:sz w:val="26"/>
          <w:szCs w:val="26"/>
        </w:rPr>
      </w:pPr>
      <w:r w:rsidRPr="002461E2">
        <w:rPr>
          <w:rFonts w:ascii="Times" w:hAnsi="Times" w:cs="Times"/>
          <w:b/>
          <w:bCs/>
          <w:sz w:val="26"/>
          <w:szCs w:val="26"/>
        </w:rPr>
        <w:t xml:space="preserve">e Comissão de </w:t>
      </w:r>
      <w:r w:rsidR="00D568A5">
        <w:rPr>
          <w:rFonts w:ascii="Times" w:hAnsi="Times" w:cs="Times"/>
          <w:b/>
          <w:bCs/>
          <w:sz w:val="26"/>
          <w:szCs w:val="26"/>
        </w:rPr>
        <w:t>Saúde da Ordem dos Advogados do Paraná</w:t>
      </w:r>
    </w:p>
    <w:p w14:paraId="1C4EEE64" w14:textId="5ADE5213" w:rsidR="00586EBB" w:rsidRPr="002461E2" w:rsidRDefault="00586EBB" w:rsidP="008C5400">
      <w:pPr>
        <w:spacing w:line="360" w:lineRule="auto"/>
        <w:rPr>
          <w:rFonts w:ascii="Times" w:hAnsi="Times" w:cs="Times"/>
          <w:b/>
          <w:bCs/>
          <w:sz w:val="26"/>
          <w:szCs w:val="26"/>
        </w:rPr>
      </w:pPr>
    </w:p>
    <w:p w14:paraId="717A877D" w14:textId="77777777" w:rsidR="00CF0A48" w:rsidRPr="002461E2" w:rsidRDefault="00CF0A48" w:rsidP="008C5400">
      <w:pPr>
        <w:spacing w:line="360" w:lineRule="auto"/>
        <w:rPr>
          <w:rFonts w:ascii="Times" w:hAnsi="Times" w:cs="Times"/>
          <w:b/>
          <w:bCs/>
          <w:sz w:val="26"/>
          <w:szCs w:val="26"/>
        </w:rPr>
      </w:pPr>
      <w:r w:rsidRPr="002461E2">
        <w:rPr>
          <w:rFonts w:ascii="Times" w:hAnsi="Times" w:cs="Times"/>
          <w:b/>
          <w:bCs/>
          <w:sz w:val="26"/>
          <w:szCs w:val="26"/>
        </w:rPr>
        <w:t xml:space="preserve">Objeto da Nota Técnica </w:t>
      </w:r>
    </w:p>
    <w:p w14:paraId="7C43ADB1" w14:textId="583139FB" w:rsidR="00A14AED" w:rsidRPr="002461E2" w:rsidRDefault="00245752" w:rsidP="008C5400">
      <w:pPr>
        <w:spacing w:line="360" w:lineRule="auto"/>
        <w:rPr>
          <w:rFonts w:ascii="Times" w:hAnsi="Times" w:cs="Times"/>
          <w:b/>
          <w:bCs/>
          <w:sz w:val="26"/>
          <w:szCs w:val="26"/>
        </w:rPr>
      </w:pPr>
      <w:r w:rsidRPr="002461E2">
        <w:rPr>
          <w:rFonts w:ascii="Times" w:hAnsi="Times" w:cs="Times"/>
          <w:sz w:val="26"/>
          <w:szCs w:val="26"/>
        </w:rPr>
        <w:tab/>
        <w:t xml:space="preserve">As Comissões de Política sobre Drogas e Comissão de Direito à Saúde da Ordem dos Advogados do Brasil comparecem para apresentar nota técnica sobre a </w:t>
      </w:r>
      <w:r w:rsidRPr="002461E2">
        <w:rPr>
          <w:rFonts w:ascii="Times" w:hAnsi="Times" w:cs="Times"/>
          <w:b/>
          <w:bCs/>
          <w:sz w:val="26"/>
          <w:szCs w:val="26"/>
        </w:rPr>
        <w:t>proposta de revogação massiva de portarias de saúde mental</w:t>
      </w:r>
      <w:r w:rsidR="00CF0A48" w:rsidRPr="002461E2">
        <w:rPr>
          <w:rFonts w:ascii="Times" w:hAnsi="Times" w:cs="Times"/>
          <w:b/>
          <w:bCs/>
          <w:sz w:val="26"/>
          <w:szCs w:val="26"/>
        </w:rPr>
        <w:t>, amplamente noticiada pela imprensa.</w:t>
      </w:r>
    </w:p>
    <w:p w14:paraId="0555D2B5" w14:textId="77777777" w:rsidR="00245752" w:rsidRPr="002461E2" w:rsidRDefault="00245752" w:rsidP="008C5400">
      <w:pPr>
        <w:spacing w:line="360" w:lineRule="auto"/>
        <w:rPr>
          <w:rFonts w:ascii="Times" w:hAnsi="Times" w:cs="Times"/>
          <w:sz w:val="26"/>
          <w:szCs w:val="26"/>
        </w:rPr>
      </w:pPr>
    </w:p>
    <w:p w14:paraId="38433E21" w14:textId="684A9F52" w:rsidR="00245752" w:rsidRPr="002461E2" w:rsidRDefault="00CF0A48" w:rsidP="008C5400">
      <w:pPr>
        <w:spacing w:line="360" w:lineRule="auto"/>
        <w:rPr>
          <w:rFonts w:ascii="Times" w:hAnsi="Times" w:cs="Times"/>
          <w:b/>
          <w:bCs/>
          <w:sz w:val="26"/>
          <w:szCs w:val="26"/>
        </w:rPr>
      </w:pPr>
      <w:r w:rsidRPr="002461E2">
        <w:rPr>
          <w:rFonts w:ascii="Times" w:hAnsi="Times" w:cs="Times"/>
          <w:b/>
          <w:bCs/>
          <w:sz w:val="26"/>
          <w:szCs w:val="26"/>
        </w:rPr>
        <w:t>Contextualização da Nota Técnica e urgência do encaminhamento</w:t>
      </w:r>
    </w:p>
    <w:p w14:paraId="197A7C93" w14:textId="7B1193AE" w:rsidR="00B733E8" w:rsidRPr="002461E2" w:rsidRDefault="00586EBB" w:rsidP="008C5400">
      <w:pPr>
        <w:spacing w:line="360" w:lineRule="auto"/>
        <w:rPr>
          <w:rFonts w:ascii="Times" w:hAnsi="Times" w:cs="Times"/>
          <w:sz w:val="26"/>
          <w:szCs w:val="26"/>
        </w:rPr>
      </w:pPr>
      <w:r w:rsidRPr="002461E2">
        <w:rPr>
          <w:rFonts w:ascii="Times" w:hAnsi="Times" w:cs="Times"/>
          <w:sz w:val="26"/>
          <w:szCs w:val="26"/>
        </w:rPr>
        <w:tab/>
      </w:r>
      <w:r w:rsidR="00245752" w:rsidRPr="002461E2">
        <w:rPr>
          <w:rFonts w:ascii="Times" w:hAnsi="Times" w:cs="Times"/>
          <w:sz w:val="26"/>
          <w:szCs w:val="26"/>
        </w:rPr>
        <w:t>Nos últimos dias</w:t>
      </w:r>
      <w:r w:rsidR="00BA508B" w:rsidRPr="002461E2">
        <w:rPr>
          <w:rFonts w:ascii="Times" w:hAnsi="Times" w:cs="Times"/>
          <w:sz w:val="26"/>
          <w:szCs w:val="26"/>
        </w:rPr>
        <w:t>,</w:t>
      </w:r>
      <w:r w:rsidR="00245752" w:rsidRPr="002461E2">
        <w:rPr>
          <w:rFonts w:ascii="Times" w:hAnsi="Times" w:cs="Times"/>
          <w:sz w:val="26"/>
          <w:szCs w:val="26"/>
        </w:rPr>
        <w:t xml:space="preserve"> foi </w:t>
      </w:r>
      <w:r w:rsidR="00754C51" w:rsidRPr="002461E2">
        <w:rPr>
          <w:rFonts w:ascii="Times" w:hAnsi="Times" w:cs="Times"/>
          <w:sz w:val="26"/>
          <w:szCs w:val="26"/>
        </w:rPr>
        <w:t>amplamente noticiad</w:t>
      </w:r>
      <w:r w:rsidR="00245752" w:rsidRPr="002461E2">
        <w:rPr>
          <w:rFonts w:ascii="Times" w:hAnsi="Times" w:cs="Times"/>
          <w:sz w:val="26"/>
          <w:szCs w:val="26"/>
        </w:rPr>
        <w:t>a</w:t>
      </w:r>
      <w:r w:rsidR="00754C51" w:rsidRPr="002461E2">
        <w:rPr>
          <w:rFonts w:ascii="Times" w:hAnsi="Times" w:cs="Times"/>
          <w:sz w:val="26"/>
          <w:szCs w:val="26"/>
        </w:rPr>
        <w:t xml:space="preserve"> pela imprensa a intenção de revogação em massa de portarias de saúde mental</w:t>
      </w:r>
      <w:r w:rsidR="0066494E" w:rsidRPr="002461E2">
        <w:rPr>
          <w:rStyle w:val="Refdenotaderodap"/>
          <w:rFonts w:ascii="Times" w:hAnsi="Times" w:cs="Times"/>
          <w:sz w:val="26"/>
          <w:szCs w:val="26"/>
        </w:rPr>
        <w:footnoteReference w:id="1"/>
      </w:r>
      <w:r w:rsidR="00BA508B" w:rsidRPr="002461E2">
        <w:rPr>
          <w:rFonts w:ascii="Times" w:hAnsi="Times" w:cs="Times"/>
          <w:sz w:val="26"/>
          <w:szCs w:val="26"/>
        </w:rPr>
        <w:t>. A teor de informações disponíveis no site da Câmara dos Deputados, tratam-se de 100 portarias</w:t>
      </w:r>
      <w:r w:rsidR="00BA508B" w:rsidRPr="002461E2">
        <w:rPr>
          <w:rStyle w:val="Refdenotaderodap"/>
          <w:rFonts w:ascii="Times" w:hAnsi="Times" w:cs="Times"/>
          <w:sz w:val="26"/>
          <w:szCs w:val="26"/>
        </w:rPr>
        <w:footnoteReference w:id="2"/>
      </w:r>
      <w:r w:rsidR="00BA508B" w:rsidRPr="002461E2">
        <w:rPr>
          <w:rFonts w:ascii="Times" w:hAnsi="Times" w:cs="Times"/>
          <w:sz w:val="26"/>
          <w:szCs w:val="26"/>
        </w:rPr>
        <w:t>. Consoante</w:t>
      </w:r>
      <w:r w:rsidR="00D40183" w:rsidRPr="002461E2">
        <w:rPr>
          <w:rFonts w:ascii="Times" w:hAnsi="Times" w:cs="Times"/>
          <w:sz w:val="26"/>
          <w:szCs w:val="26"/>
        </w:rPr>
        <w:t xml:space="preserve"> </w:t>
      </w:r>
      <w:r w:rsidR="00C0699B" w:rsidRPr="002461E2">
        <w:rPr>
          <w:rFonts w:ascii="Times" w:hAnsi="Times" w:cs="Times"/>
          <w:sz w:val="26"/>
          <w:szCs w:val="26"/>
        </w:rPr>
        <w:t>notícia</w:t>
      </w:r>
      <w:r w:rsidR="00BA508B" w:rsidRPr="002461E2">
        <w:rPr>
          <w:rFonts w:ascii="Times" w:hAnsi="Times" w:cs="Times"/>
          <w:sz w:val="26"/>
          <w:szCs w:val="26"/>
        </w:rPr>
        <w:t xml:space="preserve"> </w:t>
      </w:r>
      <w:r w:rsidR="00D40183" w:rsidRPr="002461E2">
        <w:rPr>
          <w:rFonts w:ascii="Times" w:hAnsi="Times" w:cs="Times"/>
          <w:sz w:val="26"/>
          <w:szCs w:val="26"/>
        </w:rPr>
        <w:t>n</w:t>
      </w:r>
      <w:r w:rsidR="00BA508B" w:rsidRPr="002461E2">
        <w:rPr>
          <w:rFonts w:ascii="Times" w:hAnsi="Times" w:cs="Times"/>
          <w:sz w:val="26"/>
          <w:szCs w:val="26"/>
        </w:rPr>
        <w:t xml:space="preserve">o </w:t>
      </w:r>
      <w:r w:rsidR="00B733E8" w:rsidRPr="002461E2">
        <w:rPr>
          <w:rFonts w:ascii="Times" w:hAnsi="Times" w:cs="Times"/>
          <w:sz w:val="26"/>
          <w:szCs w:val="26"/>
        </w:rPr>
        <w:t xml:space="preserve">site do Senado Federal: </w:t>
      </w:r>
    </w:p>
    <w:p w14:paraId="0B09E17B" w14:textId="4C621B39" w:rsidR="00B733E8" w:rsidRPr="002461E2" w:rsidRDefault="00B733E8" w:rsidP="00C013D9">
      <w:pPr>
        <w:spacing w:line="360" w:lineRule="auto"/>
        <w:ind w:left="708"/>
        <w:rPr>
          <w:rFonts w:ascii="Times" w:hAnsi="Times" w:cs="Times"/>
          <w:i/>
          <w:iCs/>
          <w:sz w:val="26"/>
          <w:szCs w:val="26"/>
        </w:rPr>
      </w:pPr>
      <w:r w:rsidRPr="002461E2">
        <w:rPr>
          <w:rFonts w:ascii="Times" w:hAnsi="Times" w:cs="Times"/>
          <w:i/>
          <w:iCs/>
          <w:sz w:val="26"/>
          <w:szCs w:val="26"/>
        </w:rPr>
        <w:t>“</w:t>
      </w:r>
      <w:r w:rsidRPr="002461E2">
        <w:rPr>
          <w:rFonts w:ascii="Times" w:eastAsia="Times New Roman" w:hAnsi="Times" w:cs="Times"/>
          <w:i/>
          <w:iCs/>
          <w:sz w:val="26"/>
          <w:szCs w:val="26"/>
        </w:rPr>
        <w:t>A revogação levaria ao encerramento de vários programas do Sistema Único de Saúde (SUS), como o de reestruturação da assistência psiquiátrica hospitalar, as equipes de Consultório na Rua, o Serviço Residencial Terapêutico e a Comissão de Acompanhamento do Programa De Volta para Casa</w:t>
      </w:r>
      <w:r w:rsidR="0099714B" w:rsidRPr="002461E2">
        <w:rPr>
          <w:rFonts w:ascii="Times" w:eastAsia="Times New Roman" w:hAnsi="Times" w:cs="Times"/>
          <w:i/>
          <w:iCs/>
          <w:sz w:val="26"/>
          <w:szCs w:val="26"/>
        </w:rPr>
        <w:t>”</w:t>
      </w:r>
      <w:r w:rsidRPr="002461E2">
        <w:rPr>
          <w:rFonts w:ascii="Times" w:eastAsia="Times New Roman" w:hAnsi="Times" w:cs="Times"/>
          <w:i/>
          <w:iCs/>
          <w:sz w:val="26"/>
          <w:szCs w:val="26"/>
        </w:rPr>
        <w:t>.</w:t>
      </w:r>
      <w:r w:rsidRPr="002461E2">
        <w:rPr>
          <w:rStyle w:val="Refdenotaderodap"/>
          <w:rFonts w:ascii="Times" w:eastAsia="Times New Roman" w:hAnsi="Times" w:cs="Times"/>
          <w:i/>
          <w:iCs/>
          <w:sz w:val="26"/>
          <w:szCs w:val="26"/>
        </w:rPr>
        <w:footnoteReference w:id="3"/>
      </w:r>
    </w:p>
    <w:p w14:paraId="3AE2F1F9" w14:textId="319D9D27" w:rsidR="00245752" w:rsidRPr="002461E2" w:rsidRDefault="00245752" w:rsidP="008C5400">
      <w:pPr>
        <w:spacing w:line="360" w:lineRule="auto"/>
        <w:rPr>
          <w:rFonts w:ascii="Times" w:hAnsi="Times" w:cs="Times"/>
          <w:sz w:val="26"/>
          <w:szCs w:val="26"/>
        </w:rPr>
      </w:pPr>
    </w:p>
    <w:p w14:paraId="4E825C39" w14:textId="41D4C05C" w:rsidR="002461E2" w:rsidRPr="00594C2E" w:rsidRDefault="00374D34" w:rsidP="00C013D9">
      <w:pPr>
        <w:spacing w:line="360" w:lineRule="auto"/>
        <w:rPr>
          <w:rFonts w:ascii="Times" w:hAnsi="Times" w:cs="Times"/>
          <w:i/>
          <w:iCs/>
          <w:sz w:val="26"/>
          <w:szCs w:val="26"/>
        </w:rPr>
      </w:pPr>
      <w:r w:rsidRPr="002461E2">
        <w:rPr>
          <w:rFonts w:ascii="Times" w:hAnsi="Times" w:cs="Times"/>
          <w:sz w:val="26"/>
          <w:szCs w:val="26"/>
        </w:rPr>
        <w:tab/>
        <w:t>A Folha de S. Paulo ressalta que a proposta “</w:t>
      </w:r>
      <w:r w:rsidRPr="002461E2">
        <w:rPr>
          <w:rFonts w:ascii="Times" w:hAnsi="Times" w:cs="Times"/>
          <w:i/>
          <w:iCs/>
          <w:sz w:val="26"/>
          <w:szCs w:val="26"/>
        </w:rPr>
        <w:t>Revoga mecanismos de fiscalização e estímulo a redução do tamanho dos hospitais psiquiátricos. Extingue equipes que apoiam a transferência de moradores de hospitais psiquiátricos para serviços comunitários”</w:t>
      </w:r>
      <w:r w:rsidR="00F07360" w:rsidRPr="00F07360">
        <w:rPr>
          <w:rStyle w:val="Refdenotaderodap"/>
          <w:rFonts w:ascii="Times" w:hAnsi="Times" w:cs="Times"/>
          <w:sz w:val="26"/>
          <w:szCs w:val="26"/>
        </w:rPr>
        <w:footnoteReference w:id="4"/>
      </w:r>
      <w:r w:rsidRPr="002461E2">
        <w:rPr>
          <w:rFonts w:ascii="Times" w:hAnsi="Times" w:cs="Times"/>
          <w:i/>
          <w:iCs/>
          <w:sz w:val="26"/>
          <w:szCs w:val="26"/>
        </w:rPr>
        <w:t>.</w:t>
      </w:r>
      <w:r w:rsidR="00F14FFB" w:rsidRPr="002461E2">
        <w:rPr>
          <w:rFonts w:ascii="Times" w:hAnsi="Times" w:cs="Times"/>
          <w:i/>
          <w:iCs/>
          <w:sz w:val="26"/>
          <w:szCs w:val="26"/>
        </w:rPr>
        <w:t xml:space="preserve"> </w:t>
      </w:r>
      <w:r w:rsidR="00D40183" w:rsidRPr="002461E2">
        <w:rPr>
          <w:rFonts w:ascii="Times" w:hAnsi="Times" w:cs="Times"/>
          <w:sz w:val="26"/>
          <w:szCs w:val="26"/>
        </w:rPr>
        <w:t xml:space="preserve">A Revista Época salienta que </w:t>
      </w:r>
      <w:r w:rsidR="00D40183" w:rsidRPr="002461E2">
        <w:rPr>
          <w:rFonts w:ascii="Times" w:hAnsi="Times" w:cs="Times"/>
          <w:i/>
          <w:iCs/>
          <w:sz w:val="26"/>
          <w:szCs w:val="26"/>
        </w:rPr>
        <w:t xml:space="preserve">“Estão em risco, por exemplo, o Serviço Residencial Terapêutico, as equipes de Consultório na Rua e a Rede de Atenção Psicossocial para </w:t>
      </w:r>
      <w:r w:rsidR="00D40183" w:rsidRPr="002461E2">
        <w:rPr>
          <w:rFonts w:ascii="Times" w:hAnsi="Times" w:cs="Times"/>
          <w:i/>
          <w:iCs/>
          <w:sz w:val="26"/>
          <w:szCs w:val="26"/>
        </w:rPr>
        <w:lastRenderedPageBreak/>
        <w:t>pessoas com sofrimento ou transtorno mental e com necessidades decorrentes do uso de crack, álcool e outras drogas”</w:t>
      </w:r>
      <w:r w:rsidR="00D40183" w:rsidRPr="00594C2E">
        <w:rPr>
          <w:rStyle w:val="Refdenotaderodap"/>
          <w:rFonts w:ascii="Times" w:hAnsi="Times" w:cs="Times"/>
          <w:sz w:val="26"/>
          <w:szCs w:val="26"/>
        </w:rPr>
        <w:footnoteReference w:id="5"/>
      </w:r>
      <w:r w:rsidR="00D40183" w:rsidRPr="00594C2E">
        <w:rPr>
          <w:rFonts w:ascii="Times" w:hAnsi="Times" w:cs="Times"/>
          <w:sz w:val="26"/>
          <w:szCs w:val="26"/>
        </w:rPr>
        <w:t>.</w:t>
      </w:r>
    </w:p>
    <w:p w14:paraId="0736CB03" w14:textId="3593C40D" w:rsidR="00374D34" w:rsidRPr="002461E2" w:rsidRDefault="002461E2" w:rsidP="002461E2">
      <w:pPr>
        <w:spacing w:line="360" w:lineRule="auto"/>
        <w:rPr>
          <w:rFonts w:ascii="Times" w:hAnsi="Times" w:cs="Times"/>
          <w:sz w:val="26"/>
          <w:szCs w:val="26"/>
        </w:rPr>
      </w:pPr>
      <w:r>
        <w:rPr>
          <w:rFonts w:ascii="Times" w:hAnsi="Times" w:cs="Times"/>
          <w:i/>
          <w:iCs/>
          <w:sz w:val="26"/>
          <w:szCs w:val="26"/>
        </w:rPr>
        <w:t xml:space="preserve"> </w:t>
      </w:r>
      <w:r>
        <w:rPr>
          <w:rFonts w:ascii="Times" w:hAnsi="Times" w:cs="Times"/>
          <w:i/>
          <w:iCs/>
          <w:sz w:val="26"/>
          <w:szCs w:val="26"/>
        </w:rPr>
        <w:tab/>
      </w:r>
      <w:r w:rsidR="00F14FFB" w:rsidRPr="002461E2">
        <w:rPr>
          <w:rFonts w:ascii="Times" w:hAnsi="Times" w:cs="Times"/>
          <w:sz w:val="26"/>
          <w:szCs w:val="26"/>
        </w:rPr>
        <w:t>Nesse passo, apura-se</w:t>
      </w:r>
      <w:r w:rsidR="00EC1871" w:rsidRPr="002461E2">
        <w:rPr>
          <w:rFonts w:ascii="Times" w:hAnsi="Times" w:cs="Times"/>
          <w:sz w:val="26"/>
          <w:szCs w:val="26"/>
        </w:rPr>
        <w:t xml:space="preserve"> absoluta desconformidade com a Política Nacional de Saúde Mental desenvolvida vigente, </w:t>
      </w:r>
      <w:r w:rsidR="00E51A28" w:rsidRPr="002461E2">
        <w:rPr>
          <w:rFonts w:ascii="Times" w:hAnsi="Times" w:cs="Times"/>
          <w:sz w:val="26"/>
          <w:szCs w:val="26"/>
        </w:rPr>
        <w:t xml:space="preserve">pautada pela humanização, modelo comunitário, aberto, com ênfase no tratamento personalizado. Essa concepção é </w:t>
      </w:r>
      <w:r w:rsidR="00EC1871" w:rsidRPr="002461E2">
        <w:rPr>
          <w:rFonts w:ascii="Times" w:hAnsi="Times" w:cs="Times"/>
          <w:sz w:val="26"/>
          <w:szCs w:val="26"/>
        </w:rPr>
        <w:t>extraída do site do próprio Ministério da Saúde:</w:t>
      </w:r>
    </w:p>
    <w:p w14:paraId="1888B34F" w14:textId="6C6861A2" w:rsidR="00EC1871" w:rsidRPr="002461E2" w:rsidRDefault="00EC1871" w:rsidP="008C5400">
      <w:pPr>
        <w:spacing w:line="240" w:lineRule="auto"/>
        <w:ind w:left="2124"/>
        <w:rPr>
          <w:rFonts w:ascii="Times" w:hAnsi="Times" w:cs="Times"/>
          <w:i/>
          <w:iCs/>
          <w:sz w:val="26"/>
          <w:szCs w:val="26"/>
        </w:rPr>
      </w:pPr>
      <w:r w:rsidRPr="002461E2">
        <w:rPr>
          <w:rFonts w:ascii="Times" w:hAnsi="Times" w:cs="Times"/>
          <w:i/>
          <w:iCs/>
          <w:sz w:val="26"/>
          <w:szCs w:val="26"/>
        </w:rPr>
        <w:t>“A Política Nacional de Saúde Mental desenvolvida pelo Ministério da Saúde</w:t>
      </w:r>
      <w:r w:rsidR="00E701E7" w:rsidRPr="002461E2">
        <w:rPr>
          <w:rFonts w:ascii="Times" w:hAnsi="Times" w:cs="Times"/>
          <w:i/>
          <w:iCs/>
          <w:sz w:val="26"/>
          <w:szCs w:val="26"/>
        </w:rPr>
        <w:t xml:space="preserve"> </w:t>
      </w:r>
      <w:r w:rsidRPr="002461E2">
        <w:rPr>
          <w:rFonts w:ascii="Times" w:hAnsi="Times" w:cs="Times"/>
          <w:i/>
          <w:iCs/>
          <w:sz w:val="26"/>
          <w:szCs w:val="26"/>
        </w:rPr>
        <w:t xml:space="preserve">tem por objetivo </w:t>
      </w:r>
      <w:r w:rsidRPr="002461E2">
        <w:rPr>
          <w:rFonts w:ascii="Times" w:hAnsi="Times" w:cs="Times"/>
          <w:b/>
          <w:bCs/>
          <w:i/>
          <w:iCs/>
          <w:sz w:val="26"/>
          <w:szCs w:val="26"/>
        </w:rPr>
        <w:t>consolidar um modelo de atenção à saúde mental aberto e de base comunitária,</w:t>
      </w:r>
      <w:r w:rsidRPr="002461E2">
        <w:rPr>
          <w:rFonts w:ascii="Times" w:hAnsi="Times" w:cs="Times"/>
          <w:i/>
          <w:iCs/>
          <w:sz w:val="26"/>
          <w:szCs w:val="26"/>
        </w:rPr>
        <w:t xml:space="preserve"> garantindo a </w:t>
      </w:r>
      <w:r w:rsidRPr="002461E2">
        <w:rPr>
          <w:rFonts w:ascii="Times" w:hAnsi="Times" w:cs="Times"/>
          <w:b/>
          <w:bCs/>
          <w:i/>
          <w:iCs/>
          <w:sz w:val="26"/>
          <w:szCs w:val="26"/>
        </w:rPr>
        <w:t>livre circulação das pessoas</w:t>
      </w:r>
      <w:r w:rsidRPr="002461E2">
        <w:rPr>
          <w:rFonts w:ascii="Times" w:hAnsi="Times" w:cs="Times"/>
          <w:i/>
          <w:iCs/>
          <w:sz w:val="26"/>
          <w:szCs w:val="26"/>
        </w:rPr>
        <w:t xml:space="preserve"> com transtornos mentais pelos serviços, comunidade e cidade. Em consonância com a Reforma Psiquiátrica (Lei 10.216/2001), o governo federal impulsionou a construção de um </w:t>
      </w:r>
      <w:r w:rsidRPr="002461E2">
        <w:rPr>
          <w:rFonts w:ascii="Times" w:hAnsi="Times" w:cs="Times"/>
          <w:b/>
          <w:bCs/>
          <w:i/>
          <w:iCs/>
          <w:sz w:val="26"/>
          <w:szCs w:val="26"/>
        </w:rPr>
        <w:t>modelo humanizado, mudando o foco da hospitalização como centro ou única possibilidade</w:t>
      </w:r>
      <w:r w:rsidRPr="002461E2">
        <w:rPr>
          <w:rFonts w:ascii="Times" w:hAnsi="Times" w:cs="Times"/>
          <w:i/>
          <w:iCs/>
          <w:sz w:val="26"/>
          <w:szCs w:val="26"/>
        </w:rPr>
        <w:t xml:space="preserve"> de tratamento às pessoas com transtornos mentais e com necessidades de saúde decorrentes do uso de álcool, crack e outras drogas. Nesse sentido, cabe ao Ministério da Saúde estabelecer diretrizes, </w:t>
      </w:r>
      <w:r w:rsidRPr="002461E2">
        <w:rPr>
          <w:rFonts w:ascii="Times" w:hAnsi="Times" w:cs="Times"/>
          <w:b/>
          <w:bCs/>
          <w:i/>
          <w:iCs/>
          <w:sz w:val="26"/>
          <w:szCs w:val="26"/>
        </w:rPr>
        <w:t>oferecer apoio técnico e disponibilizar os recursos necessários para a abertura</w:t>
      </w:r>
      <w:r w:rsidRPr="002461E2">
        <w:rPr>
          <w:rFonts w:ascii="Times" w:hAnsi="Times" w:cs="Times"/>
          <w:i/>
          <w:iCs/>
          <w:sz w:val="26"/>
          <w:szCs w:val="26"/>
        </w:rPr>
        <w:t xml:space="preserve"> e cofinanciamento de serviços de saúde”</w:t>
      </w:r>
      <w:r w:rsidRPr="002461E2">
        <w:rPr>
          <w:rStyle w:val="Refdenotaderodap"/>
          <w:rFonts w:ascii="Times" w:hAnsi="Times" w:cs="Times"/>
          <w:i/>
          <w:iCs/>
          <w:sz w:val="26"/>
          <w:szCs w:val="26"/>
        </w:rPr>
        <w:footnoteReference w:id="6"/>
      </w:r>
    </w:p>
    <w:p w14:paraId="7B767990" w14:textId="0B2270F1" w:rsidR="00A61D0B" w:rsidRPr="002461E2" w:rsidRDefault="00A61D0B" w:rsidP="008C5400">
      <w:pPr>
        <w:spacing w:line="360" w:lineRule="auto"/>
        <w:ind w:left="708"/>
        <w:rPr>
          <w:rFonts w:ascii="Times" w:hAnsi="Times" w:cs="Times"/>
          <w:i/>
          <w:iCs/>
          <w:sz w:val="26"/>
          <w:szCs w:val="26"/>
        </w:rPr>
      </w:pPr>
    </w:p>
    <w:p w14:paraId="443A624F" w14:textId="630D757F" w:rsidR="00CF0A48" w:rsidRPr="002461E2" w:rsidRDefault="006E50E0" w:rsidP="008C5400">
      <w:pPr>
        <w:spacing w:line="360" w:lineRule="auto"/>
        <w:rPr>
          <w:rFonts w:ascii="Times" w:hAnsi="Times" w:cs="Times"/>
          <w:b/>
          <w:bCs/>
          <w:sz w:val="26"/>
          <w:szCs w:val="26"/>
        </w:rPr>
      </w:pPr>
      <w:r w:rsidRPr="002461E2">
        <w:rPr>
          <w:rFonts w:ascii="Times" w:hAnsi="Times" w:cs="Times"/>
          <w:b/>
          <w:bCs/>
          <w:sz w:val="26"/>
          <w:szCs w:val="26"/>
        </w:rPr>
        <w:t xml:space="preserve">Questões procedimentais </w:t>
      </w:r>
      <w:r w:rsidR="00F14FFB" w:rsidRPr="002461E2">
        <w:rPr>
          <w:rFonts w:ascii="Times" w:hAnsi="Times" w:cs="Times"/>
          <w:b/>
          <w:bCs/>
          <w:sz w:val="26"/>
          <w:szCs w:val="26"/>
        </w:rPr>
        <w:t xml:space="preserve">do </w:t>
      </w:r>
      <w:r w:rsidR="00CF0A48" w:rsidRPr="002461E2">
        <w:rPr>
          <w:rFonts w:ascii="Times" w:hAnsi="Times" w:cs="Times"/>
          <w:b/>
          <w:bCs/>
          <w:sz w:val="26"/>
          <w:szCs w:val="26"/>
        </w:rPr>
        <w:t xml:space="preserve">processo de debate das normas </w:t>
      </w:r>
      <w:r w:rsidR="004920D1" w:rsidRPr="002461E2">
        <w:rPr>
          <w:rFonts w:ascii="Times" w:hAnsi="Times" w:cs="Times"/>
          <w:b/>
          <w:bCs/>
          <w:sz w:val="26"/>
          <w:szCs w:val="26"/>
        </w:rPr>
        <w:t>– ilegalidade de procedimento</w:t>
      </w:r>
    </w:p>
    <w:p w14:paraId="20897CB5" w14:textId="3D056A80" w:rsidR="00EC1871" w:rsidRPr="002461E2" w:rsidRDefault="00F74358" w:rsidP="008C5400">
      <w:pPr>
        <w:spacing w:line="360" w:lineRule="auto"/>
        <w:rPr>
          <w:rFonts w:ascii="Times" w:hAnsi="Times" w:cs="Times"/>
          <w:sz w:val="26"/>
          <w:szCs w:val="26"/>
        </w:rPr>
      </w:pPr>
      <w:r w:rsidRPr="002461E2">
        <w:rPr>
          <w:rFonts w:ascii="Times" w:hAnsi="Times" w:cs="Times"/>
          <w:sz w:val="26"/>
          <w:szCs w:val="26"/>
        </w:rPr>
        <w:tab/>
        <w:t xml:space="preserve">Em </w:t>
      </w:r>
      <w:r w:rsidR="00686C2A" w:rsidRPr="002461E2">
        <w:rPr>
          <w:rFonts w:ascii="Times" w:hAnsi="Times" w:cs="Times"/>
          <w:sz w:val="26"/>
          <w:szCs w:val="26"/>
        </w:rPr>
        <w:t>Nota sobre o tema</w:t>
      </w:r>
      <w:r w:rsidR="0036582B" w:rsidRPr="002461E2">
        <w:rPr>
          <w:rFonts w:ascii="Times" w:hAnsi="Times" w:cs="Times"/>
          <w:sz w:val="26"/>
          <w:szCs w:val="26"/>
        </w:rPr>
        <w:t xml:space="preserve"> emitida pel</w:t>
      </w:r>
      <w:r w:rsidRPr="002461E2">
        <w:rPr>
          <w:rFonts w:ascii="Times" w:hAnsi="Times" w:cs="Times"/>
          <w:sz w:val="26"/>
          <w:szCs w:val="26"/>
        </w:rPr>
        <w:t>o Conselho de Psicologia do Paraná</w:t>
      </w:r>
      <w:r w:rsidR="00751860" w:rsidRPr="002461E2">
        <w:rPr>
          <w:rFonts w:ascii="Times" w:hAnsi="Times" w:cs="Times"/>
          <w:sz w:val="26"/>
          <w:szCs w:val="26"/>
        </w:rPr>
        <w:t xml:space="preserve"> (CRP-PR)</w:t>
      </w:r>
      <w:r w:rsidR="0036582B" w:rsidRPr="002461E2">
        <w:rPr>
          <w:rFonts w:ascii="Times" w:hAnsi="Times" w:cs="Times"/>
          <w:sz w:val="26"/>
          <w:szCs w:val="26"/>
        </w:rPr>
        <w:t>,</w:t>
      </w:r>
      <w:r w:rsidR="00751860" w:rsidRPr="002461E2">
        <w:rPr>
          <w:rStyle w:val="Refdenotaderodap"/>
          <w:rFonts w:ascii="Times" w:hAnsi="Times" w:cs="Times"/>
          <w:sz w:val="26"/>
          <w:szCs w:val="26"/>
        </w:rPr>
        <w:footnoteReference w:id="7"/>
      </w:r>
      <w:r w:rsidR="0036582B" w:rsidRPr="002461E2">
        <w:rPr>
          <w:rFonts w:ascii="Times" w:hAnsi="Times" w:cs="Times"/>
          <w:sz w:val="26"/>
          <w:szCs w:val="26"/>
        </w:rPr>
        <w:t xml:space="preserve"> anexa a presenta Nota Técnica, </w:t>
      </w:r>
      <w:r w:rsidR="00AB0766" w:rsidRPr="002461E2">
        <w:rPr>
          <w:rFonts w:ascii="Times" w:hAnsi="Times" w:cs="Times"/>
          <w:sz w:val="26"/>
          <w:szCs w:val="26"/>
        </w:rPr>
        <w:t>destaco</w:t>
      </w:r>
      <w:r w:rsidR="0036582B" w:rsidRPr="002461E2">
        <w:rPr>
          <w:rFonts w:ascii="Times" w:hAnsi="Times" w:cs="Times"/>
          <w:sz w:val="26"/>
          <w:szCs w:val="26"/>
        </w:rPr>
        <w:t>u-se</w:t>
      </w:r>
      <w:r w:rsidRPr="002461E2">
        <w:rPr>
          <w:rFonts w:ascii="Times" w:hAnsi="Times" w:cs="Times"/>
          <w:sz w:val="26"/>
          <w:szCs w:val="26"/>
        </w:rPr>
        <w:t xml:space="preserve"> falhas de procedimento que comprometem a legalidade da medida </w:t>
      </w:r>
      <w:r w:rsidR="00686C2A" w:rsidRPr="002461E2">
        <w:rPr>
          <w:rFonts w:ascii="Times" w:hAnsi="Times" w:cs="Times"/>
          <w:sz w:val="26"/>
          <w:szCs w:val="26"/>
        </w:rPr>
        <w:t>de revogação, inclusive no tocante ao</w:t>
      </w:r>
      <w:r w:rsidRPr="002461E2">
        <w:rPr>
          <w:rFonts w:ascii="Times" w:hAnsi="Times" w:cs="Times"/>
          <w:sz w:val="26"/>
          <w:szCs w:val="26"/>
        </w:rPr>
        <w:t xml:space="preserve"> trâmite</w:t>
      </w:r>
      <w:r w:rsidR="00AB0766" w:rsidRPr="002461E2">
        <w:rPr>
          <w:rFonts w:ascii="Times" w:hAnsi="Times" w:cs="Times"/>
          <w:sz w:val="26"/>
          <w:szCs w:val="26"/>
        </w:rPr>
        <w:t>, à publicidade, e à participação democrática</w:t>
      </w:r>
      <w:r w:rsidRPr="002461E2">
        <w:rPr>
          <w:rFonts w:ascii="Times" w:hAnsi="Times" w:cs="Times"/>
          <w:sz w:val="26"/>
          <w:szCs w:val="26"/>
        </w:rPr>
        <w:t>:</w:t>
      </w:r>
    </w:p>
    <w:p w14:paraId="3C5387FA" w14:textId="5BC0E4C6" w:rsidR="00130296" w:rsidRDefault="00F74358" w:rsidP="008C5400">
      <w:pPr>
        <w:spacing w:line="240" w:lineRule="auto"/>
        <w:ind w:left="2124"/>
        <w:rPr>
          <w:rFonts w:ascii="Times" w:hAnsi="Times" w:cs="Times"/>
          <w:i/>
          <w:iCs/>
          <w:sz w:val="26"/>
          <w:szCs w:val="26"/>
        </w:rPr>
      </w:pPr>
      <w:r w:rsidRPr="002461E2">
        <w:rPr>
          <w:rFonts w:ascii="Times" w:hAnsi="Times" w:cs="Times"/>
          <w:i/>
          <w:iCs/>
          <w:sz w:val="26"/>
          <w:szCs w:val="26"/>
        </w:rPr>
        <w:t>“As alterações indicadas pelo Ministério da Saúde, “</w:t>
      </w:r>
      <w:r w:rsidRPr="002461E2">
        <w:rPr>
          <w:rFonts w:ascii="Times" w:hAnsi="Times" w:cs="Times"/>
          <w:b/>
          <w:bCs/>
          <w:i/>
          <w:iCs/>
          <w:sz w:val="26"/>
          <w:szCs w:val="26"/>
        </w:rPr>
        <w:t>a toque de caixa</w:t>
      </w:r>
      <w:r w:rsidRPr="002461E2">
        <w:rPr>
          <w:rFonts w:ascii="Times" w:hAnsi="Times" w:cs="Times"/>
          <w:i/>
          <w:iCs/>
          <w:sz w:val="26"/>
          <w:szCs w:val="26"/>
        </w:rPr>
        <w:t>” e no “</w:t>
      </w:r>
      <w:r w:rsidRPr="002461E2">
        <w:rPr>
          <w:rFonts w:ascii="Times" w:hAnsi="Times" w:cs="Times"/>
          <w:b/>
          <w:bCs/>
          <w:i/>
          <w:iCs/>
          <w:sz w:val="26"/>
          <w:szCs w:val="26"/>
        </w:rPr>
        <w:t>apagar das luzes</w:t>
      </w:r>
      <w:r w:rsidRPr="002461E2">
        <w:rPr>
          <w:rFonts w:ascii="Times" w:hAnsi="Times" w:cs="Times"/>
          <w:i/>
          <w:iCs/>
          <w:sz w:val="26"/>
          <w:szCs w:val="26"/>
        </w:rPr>
        <w:t xml:space="preserve">” do ano, se consolidadas na próxima reunião da Comissão Intergestora Tripartite, representarão um dos maiores — senão o maior — retrocessos na política de saúde mental na história </w:t>
      </w:r>
      <w:r w:rsidRPr="002461E2">
        <w:rPr>
          <w:rFonts w:ascii="Times" w:hAnsi="Times" w:cs="Times"/>
          <w:i/>
          <w:iCs/>
          <w:sz w:val="26"/>
          <w:szCs w:val="26"/>
        </w:rPr>
        <w:lastRenderedPageBreak/>
        <w:t>recente do país, pelo menos desde a promulgação da Lei nº 10.216/2001, da Reforma Psiquiátrica e da Lei Brasileira de Inclusão nº 13.146/2015, amplamente reconhecidas no cenário internacional como referências de reestruturação da assistência em saúde mental no mundo”.</w:t>
      </w:r>
    </w:p>
    <w:p w14:paraId="121569F5" w14:textId="77777777" w:rsidR="00594C2E" w:rsidRPr="002461E2" w:rsidRDefault="00594C2E" w:rsidP="008C5400">
      <w:pPr>
        <w:spacing w:line="240" w:lineRule="auto"/>
        <w:ind w:left="2124"/>
        <w:rPr>
          <w:rFonts w:ascii="Times" w:hAnsi="Times" w:cs="Times"/>
          <w:i/>
          <w:iCs/>
          <w:sz w:val="26"/>
          <w:szCs w:val="26"/>
        </w:rPr>
      </w:pPr>
    </w:p>
    <w:p w14:paraId="27811671" w14:textId="2FE38A39" w:rsidR="00F14FFB" w:rsidRPr="002461E2" w:rsidRDefault="00066A7B" w:rsidP="008C5400">
      <w:pPr>
        <w:spacing w:line="360" w:lineRule="auto"/>
        <w:rPr>
          <w:rFonts w:ascii="Times" w:hAnsi="Times" w:cs="Times"/>
          <w:sz w:val="26"/>
          <w:szCs w:val="26"/>
        </w:rPr>
      </w:pPr>
      <w:r w:rsidRPr="002461E2">
        <w:rPr>
          <w:rFonts w:ascii="Times" w:hAnsi="Times" w:cs="Times"/>
          <w:sz w:val="26"/>
          <w:szCs w:val="26"/>
        </w:rPr>
        <w:tab/>
        <w:t>O Conselho Federal de Enfermagem salientou que a “Proposta de revogação de portarias coloca em risco a Rede de Atenção Psicossocial”.</w:t>
      </w:r>
      <w:r w:rsidRPr="002461E2">
        <w:rPr>
          <w:rStyle w:val="Refdenotaderodap"/>
          <w:rFonts w:ascii="Times" w:hAnsi="Times" w:cs="Times"/>
          <w:sz w:val="26"/>
          <w:szCs w:val="26"/>
        </w:rPr>
        <w:footnoteReference w:id="8"/>
      </w:r>
      <w:r w:rsidRPr="002461E2">
        <w:rPr>
          <w:rFonts w:ascii="Times" w:hAnsi="Times" w:cs="Times"/>
          <w:sz w:val="26"/>
          <w:szCs w:val="26"/>
        </w:rPr>
        <w:t xml:space="preserve"> Igualmente, </w:t>
      </w:r>
      <w:r w:rsidR="006E4439" w:rsidRPr="002461E2">
        <w:rPr>
          <w:rFonts w:ascii="Times" w:hAnsi="Times" w:cs="Times"/>
          <w:sz w:val="26"/>
          <w:szCs w:val="26"/>
        </w:rPr>
        <w:t xml:space="preserve">Diversas entidades representativas da Saúde apontam para termos como “revogaço”, “desmonte”, o que causa preocupação destas Comissões. </w:t>
      </w:r>
      <w:r w:rsidR="00FA28D8" w:rsidRPr="002461E2">
        <w:rPr>
          <w:rFonts w:ascii="Times" w:hAnsi="Times" w:cs="Times"/>
          <w:sz w:val="26"/>
          <w:szCs w:val="26"/>
        </w:rPr>
        <w:t>Reportagem de O Estado de S. Paulo enfatiza que “Mais de 120 organizações pedem inquérito contra 'revogaço' da saúde mental em discussão”</w:t>
      </w:r>
      <w:r w:rsidR="00FA28D8" w:rsidRPr="002461E2">
        <w:rPr>
          <w:rStyle w:val="Refdenotaderodap"/>
          <w:rFonts w:ascii="Times" w:hAnsi="Times" w:cs="Times"/>
          <w:sz w:val="26"/>
          <w:szCs w:val="26"/>
        </w:rPr>
        <w:footnoteReference w:id="9"/>
      </w:r>
      <w:r w:rsidR="00FA28D8" w:rsidRPr="002461E2">
        <w:rPr>
          <w:rFonts w:ascii="Times" w:hAnsi="Times" w:cs="Times"/>
          <w:sz w:val="26"/>
          <w:szCs w:val="26"/>
        </w:rPr>
        <w:t xml:space="preserve">. De maneira, similar, o UOL, em matéria </w:t>
      </w:r>
      <w:r w:rsidR="006E4439" w:rsidRPr="002461E2">
        <w:rPr>
          <w:rFonts w:ascii="Times" w:hAnsi="Times" w:cs="Times"/>
          <w:sz w:val="26"/>
          <w:szCs w:val="26"/>
        </w:rPr>
        <w:t xml:space="preserve">veiculada </w:t>
      </w:r>
      <w:r w:rsidR="00F14FFB" w:rsidRPr="002461E2">
        <w:rPr>
          <w:rFonts w:ascii="Times" w:hAnsi="Times" w:cs="Times"/>
          <w:sz w:val="26"/>
          <w:szCs w:val="26"/>
        </w:rPr>
        <w:t>em 12.12.2020, registra</w:t>
      </w:r>
      <w:r w:rsidR="00FA28D8" w:rsidRPr="002461E2">
        <w:rPr>
          <w:rFonts w:ascii="Times" w:hAnsi="Times" w:cs="Times"/>
          <w:sz w:val="26"/>
          <w:szCs w:val="26"/>
        </w:rPr>
        <w:t xml:space="preserve"> qu</w:t>
      </w:r>
      <w:r w:rsidR="00F14FFB" w:rsidRPr="002461E2">
        <w:rPr>
          <w:rFonts w:ascii="Times" w:hAnsi="Times" w:cs="Times"/>
          <w:sz w:val="26"/>
          <w:szCs w:val="26"/>
        </w:rPr>
        <w:t>e</w:t>
      </w:r>
      <w:r w:rsidR="006E4439" w:rsidRPr="002461E2">
        <w:rPr>
          <w:rFonts w:ascii="Times" w:hAnsi="Times" w:cs="Times"/>
          <w:sz w:val="26"/>
          <w:szCs w:val="26"/>
        </w:rPr>
        <w:t>:</w:t>
      </w:r>
    </w:p>
    <w:p w14:paraId="7BE138A3" w14:textId="572F3DA2" w:rsidR="00F14FFB" w:rsidRPr="002461E2" w:rsidRDefault="00F14FFB" w:rsidP="008C5400">
      <w:pPr>
        <w:spacing w:line="240" w:lineRule="auto"/>
        <w:ind w:left="2124"/>
        <w:rPr>
          <w:rFonts w:ascii="Times" w:hAnsi="Times" w:cs="Times"/>
          <w:i/>
          <w:iCs/>
          <w:sz w:val="26"/>
          <w:szCs w:val="26"/>
        </w:rPr>
      </w:pPr>
      <w:r w:rsidRPr="002461E2">
        <w:rPr>
          <w:rFonts w:ascii="Times" w:hAnsi="Times" w:cs="Times"/>
          <w:b/>
          <w:bCs/>
          <w:i/>
          <w:iCs/>
          <w:sz w:val="26"/>
          <w:szCs w:val="26"/>
        </w:rPr>
        <w:t>“Mais de 120 organizações de diversos setores acionaram o Ministério Público Federal contra 'revogaço' planejado</w:t>
      </w:r>
      <w:r w:rsidRPr="002461E2">
        <w:rPr>
          <w:rFonts w:ascii="Times" w:hAnsi="Times" w:cs="Times"/>
          <w:i/>
          <w:iCs/>
          <w:sz w:val="26"/>
          <w:szCs w:val="26"/>
        </w:rPr>
        <w:t xml:space="preserve"> pelo governo Jair Bolsonaro em portarias que estruturam a política de saúde mental no País. As entidades </w:t>
      </w:r>
      <w:r w:rsidRPr="002461E2">
        <w:rPr>
          <w:rFonts w:ascii="Times" w:hAnsi="Times" w:cs="Times"/>
          <w:b/>
          <w:bCs/>
          <w:i/>
          <w:iCs/>
          <w:sz w:val="26"/>
          <w:szCs w:val="26"/>
        </w:rPr>
        <w:t>pedem que um inquérito civil seja aberto</w:t>
      </w:r>
      <w:r w:rsidRPr="002461E2">
        <w:rPr>
          <w:rFonts w:ascii="Times" w:hAnsi="Times" w:cs="Times"/>
          <w:i/>
          <w:iCs/>
          <w:sz w:val="26"/>
          <w:szCs w:val="26"/>
        </w:rPr>
        <w:t xml:space="preserve"> pela Procuradoria para apurar a medida que, na opinião do grupo, poderá levar a um retrocesso e desmonte da área”</w:t>
      </w:r>
      <w:r w:rsidRPr="002461E2">
        <w:rPr>
          <w:rStyle w:val="Refdenotaderodap"/>
          <w:rFonts w:ascii="Times" w:hAnsi="Times" w:cs="Times"/>
          <w:i/>
          <w:iCs/>
          <w:sz w:val="26"/>
          <w:szCs w:val="26"/>
        </w:rPr>
        <w:footnoteReference w:id="10"/>
      </w:r>
      <w:r w:rsidRPr="002461E2">
        <w:rPr>
          <w:rFonts w:ascii="Times" w:hAnsi="Times" w:cs="Times"/>
          <w:i/>
          <w:iCs/>
          <w:sz w:val="26"/>
          <w:szCs w:val="26"/>
        </w:rPr>
        <w:t>.</w:t>
      </w:r>
    </w:p>
    <w:p w14:paraId="20B94539" w14:textId="2322533A" w:rsidR="00F14FFB" w:rsidRPr="002461E2" w:rsidRDefault="00F14FFB" w:rsidP="008C5400">
      <w:pPr>
        <w:spacing w:line="360" w:lineRule="auto"/>
        <w:rPr>
          <w:rFonts w:ascii="Times" w:hAnsi="Times" w:cs="Times"/>
          <w:sz w:val="26"/>
          <w:szCs w:val="26"/>
        </w:rPr>
      </w:pPr>
    </w:p>
    <w:p w14:paraId="79C0E205" w14:textId="77777777" w:rsidR="008C5400" w:rsidRPr="002461E2" w:rsidRDefault="00925FAE" w:rsidP="008C5400">
      <w:pPr>
        <w:spacing w:line="360" w:lineRule="auto"/>
        <w:rPr>
          <w:rFonts w:ascii="Times" w:hAnsi="Times" w:cs="Times"/>
          <w:sz w:val="26"/>
          <w:szCs w:val="26"/>
        </w:rPr>
      </w:pPr>
      <w:r w:rsidRPr="002461E2">
        <w:rPr>
          <w:rFonts w:ascii="Times" w:hAnsi="Times" w:cs="Times"/>
          <w:sz w:val="26"/>
          <w:szCs w:val="26"/>
        </w:rPr>
        <w:tab/>
      </w:r>
      <w:r w:rsidR="00CF0A48" w:rsidRPr="002461E2">
        <w:rPr>
          <w:rFonts w:ascii="Times" w:hAnsi="Times" w:cs="Times"/>
          <w:sz w:val="26"/>
          <w:szCs w:val="26"/>
        </w:rPr>
        <w:t>A</w:t>
      </w:r>
      <w:r w:rsidRPr="002461E2">
        <w:rPr>
          <w:rFonts w:ascii="Times" w:hAnsi="Times" w:cs="Times"/>
          <w:sz w:val="26"/>
          <w:szCs w:val="26"/>
        </w:rPr>
        <w:t xml:space="preserve"> resposta</w:t>
      </w:r>
      <w:r w:rsidR="00CF0A48" w:rsidRPr="002461E2">
        <w:rPr>
          <w:rFonts w:ascii="Times" w:hAnsi="Times" w:cs="Times"/>
          <w:sz w:val="26"/>
          <w:szCs w:val="26"/>
        </w:rPr>
        <w:t xml:space="preserve"> do Ministério da Saúde, não está clara. Em consulta ao site do Conselho Nacional de Saúde (CNS), consta que</w:t>
      </w:r>
    </w:p>
    <w:p w14:paraId="03F1D019" w14:textId="00543DA4" w:rsidR="008C5400" w:rsidRPr="002461E2" w:rsidRDefault="00CF0A48" w:rsidP="008C5400">
      <w:pPr>
        <w:spacing w:line="240" w:lineRule="auto"/>
        <w:ind w:left="2124"/>
        <w:rPr>
          <w:rFonts w:ascii="Times" w:hAnsi="Times" w:cs="Times"/>
          <w:sz w:val="26"/>
          <w:szCs w:val="26"/>
        </w:rPr>
      </w:pPr>
      <w:r w:rsidRPr="002461E2">
        <w:rPr>
          <w:rFonts w:ascii="Times" w:hAnsi="Times" w:cs="Times"/>
          <w:sz w:val="26"/>
          <w:szCs w:val="26"/>
        </w:rPr>
        <w:t>“</w:t>
      </w:r>
      <w:r w:rsidRPr="002461E2">
        <w:rPr>
          <w:rFonts w:ascii="Times" w:hAnsi="Times" w:cs="Times"/>
          <w:i/>
          <w:iCs/>
          <w:sz w:val="26"/>
          <w:szCs w:val="26"/>
        </w:rPr>
        <w:t xml:space="preserve">Durante a 66ª Reunião Extraordinária do CNS, ocorrida nesta sexta (11/12), de forma virtual, o conselheiro nacional de saúde, representante do Ministério da Saúde, Neilton Araújo, afirmou que o Ministério </w:t>
      </w:r>
      <w:r w:rsidRPr="002461E2">
        <w:rPr>
          <w:rFonts w:ascii="Times" w:hAnsi="Times" w:cs="Times"/>
          <w:b/>
          <w:bCs/>
          <w:i/>
          <w:iCs/>
          <w:sz w:val="26"/>
          <w:szCs w:val="26"/>
        </w:rPr>
        <w:t>não possui intenção de revogar</w:t>
      </w:r>
      <w:r w:rsidRPr="002461E2">
        <w:rPr>
          <w:rFonts w:ascii="Times" w:hAnsi="Times" w:cs="Times"/>
          <w:i/>
          <w:iCs/>
          <w:sz w:val="26"/>
          <w:szCs w:val="26"/>
        </w:rPr>
        <w:t xml:space="preserve"> </w:t>
      </w:r>
      <w:r w:rsidRPr="002461E2">
        <w:rPr>
          <w:rFonts w:ascii="Times" w:hAnsi="Times" w:cs="Times"/>
          <w:b/>
          <w:bCs/>
          <w:i/>
          <w:iCs/>
          <w:sz w:val="26"/>
          <w:szCs w:val="26"/>
        </w:rPr>
        <w:t>qualquer portaria</w:t>
      </w:r>
      <w:r w:rsidRPr="002461E2">
        <w:rPr>
          <w:rFonts w:ascii="Times" w:hAnsi="Times" w:cs="Times"/>
          <w:i/>
          <w:iCs/>
          <w:sz w:val="26"/>
          <w:szCs w:val="26"/>
        </w:rPr>
        <w:t xml:space="preserve"> na área da Saúde Mental”</w:t>
      </w:r>
      <w:r w:rsidR="00734E81" w:rsidRPr="002461E2">
        <w:rPr>
          <w:rStyle w:val="Refdenotaderodap"/>
          <w:rFonts w:ascii="Times" w:hAnsi="Times" w:cs="Times"/>
          <w:sz w:val="26"/>
          <w:szCs w:val="26"/>
        </w:rPr>
        <w:footnoteReference w:id="11"/>
      </w:r>
      <w:r w:rsidRPr="002461E2">
        <w:rPr>
          <w:rFonts w:ascii="Times" w:hAnsi="Times" w:cs="Times"/>
          <w:sz w:val="26"/>
          <w:szCs w:val="26"/>
        </w:rPr>
        <w:t>.</w:t>
      </w:r>
    </w:p>
    <w:p w14:paraId="75F6AD32" w14:textId="08BEB30E" w:rsidR="00251D4E" w:rsidRPr="002461E2" w:rsidRDefault="00251D4E" w:rsidP="00251D4E">
      <w:pPr>
        <w:spacing w:line="240" w:lineRule="auto"/>
        <w:rPr>
          <w:rFonts w:ascii="Times" w:hAnsi="Times" w:cs="Times"/>
          <w:i/>
          <w:iCs/>
          <w:sz w:val="26"/>
          <w:szCs w:val="26"/>
        </w:rPr>
      </w:pPr>
      <w:r w:rsidRPr="002461E2">
        <w:rPr>
          <w:rFonts w:ascii="Times" w:hAnsi="Times" w:cs="Times"/>
          <w:sz w:val="26"/>
          <w:szCs w:val="26"/>
        </w:rPr>
        <w:lastRenderedPageBreak/>
        <w:tab/>
        <w:t>Ocorre que no site do Conselho Nacional de Saúde (CNS, no mesmo link, também se lê:</w:t>
      </w:r>
    </w:p>
    <w:p w14:paraId="54D4D1BB" w14:textId="2D228B89" w:rsidR="00251D4E" w:rsidRPr="002461E2" w:rsidRDefault="00251D4E" w:rsidP="00251D4E">
      <w:pPr>
        <w:pStyle w:val="NormalWeb"/>
        <w:shd w:val="clear" w:color="auto" w:fill="FFFFFF"/>
        <w:spacing w:before="0" w:beforeAutospacing="0" w:after="150" w:afterAutospacing="0"/>
        <w:ind w:left="2124"/>
        <w:jc w:val="both"/>
        <w:textAlignment w:val="baseline"/>
        <w:rPr>
          <w:rFonts w:ascii="Times" w:hAnsi="Times" w:cs="Times"/>
          <w:i/>
          <w:iCs/>
          <w:color w:val="000000"/>
          <w:sz w:val="26"/>
          <w:szCs w:val="26"/>
        </w:rPr>
      </w:pPr>
      <w:r w:rsidRPr="002461E2">
        <w:rPr>
          <w:rFonts w:ascii="Times" w:hAnsi="Times" w:cs="Times"/>
          <w:i/>
          <w:iCs/>
          <w:color w:val="000000"/>
          <w:sz w:val="26"/>
          <w:szCs w:val="26"/>
        </w:rPr>
        <w:t>“Ontem o secretário de Atenção Primária do Ministério da Saúde assumiu em audiência pública na Câmara dos Deputados, com representantes do alto comissariado da ONU, que estava com grupos de trabalho listando decretos e portarias para serem revogados. Portanto, fica clara nossa ampla mobilização por todo país. Nós não vamos aceitar esse revogaço e o retrocesso das políticas públicas de Saúde Mental e drogas no Brasil”, afirmou o presidente da Associação Brasileira de Saúde Mental (Abrasme) e ex-presidente do Conselho Nacional de Direitos Humanos (CNDH), Leo Pinho”.</w:t>
      </w:r>
    </w:p>
    <w:p w14:paraId="722BB93D" w14:textId="77777777" w:rsidR="00251D4E" w:rsidRPr="002461E2" w:rsidRDefault="00251D4E" w:rsidP="008C5400">
      <w:pPr>
        <w:spacing w:line="360" w:lineRule="auto"/>
        <w:ind w:left="2124"/>
        <w:rPr>
          <w:rFonts w:ascii="Times" w:hAnsi="Times" w:cs="Times"/>
          <w:i/>
          <w:iCs/>
          <w:sz w:val="26"/>
          <w:szCs w:val="26"/>
        </w:rPr>
      </w:pPr>
    </w:p>
    <w:p w14:paraId="0562475D" w14:textId="1AB06D9D" w:rsidR="00CF0A48" w:rsidRPr="002461E2" w:rsidRDefault="00CF0A48" w:rsidP="008C5400">
      <w:pPr>
        <w:spacing w:line="360" w:lineRule="auto"/>
        <w:ind w:firstLine="708"/>
        <w:rPr>
          <w:rFonts w:ascii="Times" w:hAnsi="Times" w:cs="Times"/>
          <w:sz w:val="26"/>
          <w:szCs w:val="26"/>
        </w:rPr>
      </w:pPr>
      <w:r w:rsidRPr="002461E2">
        <w:rPr>
          <w:rFonts w:ascii="Times" w:hAnsi="Times" w:cs="Times"/>
          <w:i/>
          <w:iCs/>
          <w:sz w:val="26"/>
          <w:szCs w:val="26"/>
        </w:rPr>
        <w:t xml:space="preserve"> </w:t>
      </w:r>
      <w:r w:rsidRPr="002461E2">
        <w:rPr>
          <w:rFonts w:ascii="Times" w:hAnsi="Times" w:cs="Times"/>
          <w:sz w:val="26"/>
          <w:szCs w:val="26"/>
        </w:rPr>
        <w:t xml:space="preserve">No entanto, a reportagem da UOL, aponta que </w:t>
      </w:r>
      <w:r w:rsidR="00925FAE" w:rsidRPr="002461E2">
        <w:rPr>
          <w:rFonts w:ascii="Times" w:hAnsi="Times" w:cs="Times"/>
          <w:sz w:val="26"/>
          <w:szCs w:val="26"/>
        </w:rPr>
        <w:t>“A pasta alega que as regras estão 'obsoletas”</w:t>
      </w:r>
      <w:r w:rsidRPr="002461E2">
        <w:rPr>
          <w:rStyle w:val="Refdenotaderodap"/>
          <w:rFonts w:ascii="Times" w:hAnsi="Times" w:cs="Times"/>
          <w:sz w:val="26"/>
          <w:szCs w:val="26"/>
        </w:rPr>
        <w:footnoteReference w:id="12"/>
      </w:r>
      <w:r w:rsidRPr="002461E2">
        <w:rPr>
          <w:rFonts w:ascii="Times" w:hAnsi="Times" w:cs="Times"/>
          <w:sz w:val="26"/>
          <w:szCs w:val="26"/>
        </w:rPr>
        <w:t>. Causa</w:t>
      </w:r>
      <w:r w:rsidR="004920D1" w:rsidRPr="002461E2">
        <w:rPr>
          <w:rFonts w:ascii="Times" w:hAnsi="Times" w:cs="Times"/>
          <w:sz w:val="26"/>
          <w:szCs w:val="26"/>
        </w:rPr>
        <w:t xml:space="preserve"> profunda</w:t>
      </w:r>
      <w:r w:rsidRPr="002461E2">
        <w:rPr>
          <w:rFonts w:ascii="Times" w:hAnsi="Times" w:cs="Times"/>
          <w:sz w:val="26"/>
          <w:szCs w:val="26"/>
        </w:rPr>
        <w:t xml:space="preserve"> preocupação o desencontro de informações, que prejudica a </w:t>
      </w:r>
      <w:r w:rsidR="008C5400" w:rsidRPr="002461E2">
        <w:rPr>
          <w:rFonts w:ascii="Times" w:hAnsi="Times" w:cs="Times"/>
          <w:sz w:val="26"/>
          <w:szCs w:val="26"/>
        </w:rPr>
        <w:t xml:space="preserve">fiscalização das atividades, e a </w:t>
      </w:r>
      <w:r w:rsidRPr="002461E2">
        <w:rPr>
          <w:rFonts w:ascii="Times" w:hAnsi="Times" w:cs="Times"/>
          <w:sz w:val="26"/>
          <w:szCs w:val="26"/>
        </w:rPr>
        <w:t>construção de um debate estruturado sobre temática de tão profunda relevância.</w:t>
      </w:r>
    </w:p>
    <w:p w14:paraId="3B3FFEDE" w14:textId="77777777" w:rsidR="006D1455" w:rsidRPr="002461E2" w:rsidRDefault="00931196" w:rsidP="008C5400">
      <w:pPr>
        <w:spacing w:line="360" w:lineRule="auto"/>
        <w:ind w:firstLine="708"/>
        <w:rPr>
          <w:rFonts w:ascii="Times" w:hAnsi="Times" w:cs="Times"/>
          <w:sz w:val="26"/>
          <w:szCs w:val="26"/>
          <w:lang w:eastAsia="en-US"/>
        </w:rPr>
      </w:pPr>
      <w:r w:rsidRPr="002461E2">
        <w:rPr>
          <w:rFonts w:ascii="Times" w:hAnsi="Times" w:cs="Times"/>
          <w:sz w:val="26"/>
          <w:szCs w:val="26"/>
        </w:rPr>
        <w:t xml:space="preserve">Houve um longo percurso </w:t>
      </w:r>
      <w:r w:rsidR="00141D56" w:rsidRPr="002461E2">
        <w:rPr>
          <w:rFonts w:ascii="Times" w:hAnsi="Times" w:cs="Times"/>
          <w:sz w:val="26"/>
          <w:szCs w:val="26"/>
        </w:rPr>
        <w:t>no desenvolvimento</w:t>
      </w:r>
      <w:r w:rsidRPr="002461E2">
        <w:rPr>
          <w:rFonts w:ascii="Times" w:hAnsi="Times" w:cs="Times"/>
          <w:sz w:val="26"/>
          <w:szCs w:val="26"/>
        </w:rPr>
        <w:t xml:space="preserve"> Política de Saúde Mental no Brasil, a qual sem prejuízo de mudanças que precisam ser implementadas, não pode ser simplesmente revogada</w:t>
      </w:r>
      <w:r w:rsidR="00141D56" w:rsidRPr="002461E2">
        <w:rPr>
          <w:rFonts w:ascii="Times" w:hAnsi="Times" w:cs="Times"/>
          <w:sz w:val="26"/>
          <w:szCs w:val="26"/>
        </w:rPr>
        <w:t>s.</w:t>
      </w:r>
      <w:r w:rsidRPr="002461E2">
        <w:rPr>
          <w:rFonts w:ascii="Times" w:hAnsi="Times" w:cs="Times"/>
          <w:sz w:val="26"/>
          <w:szCs w:val="26"/>
        </w:rPr>
        <w:t xml:space="preserve"> É preciso agir s</w:t>
      </w:r>
      <w:r w:rsidRPr="002461E2">
        <w:rPr>
          <w:rFonts w:ascii="Times" w:hAnsi="Times" w:cs="Times"/>
          <w:sz w:val="26"/>
          <w:szCs w:val="26"/>
          <w:lang w:eastAsia="en-US"/>
        </w:rPr>
        <w:t xml:space="preserve">em abandonar a atenção aos usuários da saúde mental, processo de ampliação de cuidado e da consagração de direitos </w:t>
      </w:r>
      <w:r w:rsidR="00141D56" w:rsidRPr="002461E2">
        <w:rPr>
          <w:rFonts w:ascii="Times" w:hAnsi="Times" w:cs="Times"/>
          <w:sz w:val="26"/>
          <w:szCs w:val="26"/>
          <w:lang w:eastAsia="en-US"/>
        </w:rPr>
        <w:t xml:space="preserve">humanos e </w:t>
      </w:r>
      <w:r w:rsidRPr="002461E2">
        <w:rPr>
          <w:rFonts w:ascii="Times" w:hAnsi="Times" w:cs="Times"/>
          <w:sz w:val="26"/>
          <w:szCs w:val="26"/>
          <w:lang w:eastAsia="en-US"/>
        </w:rPr>
        <w:t>fundamentais que, após longo percurso, inclusive das Convenções, consolidou o processo de acolhimento comunitário e criação de novos centros e formas de atenção à saúde mental.</w:t>
      </w:r>
      <w:r w:rsidRPr="002461E2">
        <w:rPr>
          <w:rFonts w:ascii="Times" w:hAnsi="Times" w:cs="Times"/>
          <w:sz w:val="26"/>
          <w:szCs w:val="26"/>
          <w:vertAlign w:val="superscript"/>
          <w:lang w:eastAsia="en-US"/>
        </w:rPr>
        <w:footnoteReference w:id="13"/>
      </w:r>
      <w:r w:rsidR="006D1455" w:rsidRPr="002461E2">
        <w:rPr>
          <w:rFonts w:ascii="Times" w:hAnsi="Times" w:cs="Times"/>
          <w:sz w:val="26"/>
          <w:szCs w:val="26"/>
          <w:lang w:eastAsia="en-US"/>
        </w:rPr>
        <w:t xml:space="preserve"> </w:t>
      </w:r>
    </w:p>
    <w:p w14:paraId="07EFFE8B" w14:textId="7F736B44" w:rsidR="00931196" w:rsidRPr="002461E2" w:rsidRDefault="006D1455" w:rsidP="008C5400">
      <w:pPr>
        <w:spacing w:line="360" w:lineRule="auto"/>
        <w:ind w:firstLine="708"/>
        <w:rPr>
          <w:rFonts w:ascii="Times" w:hAnsi="Times" w:cs="Times"/>
          <w:sz w:val="26"/>
          <w:szCs w:val="26"/>
        </w:rPr>
      </w:pPr>
      <w:r w:rsidRPr="002461E2">
        <w:rPr>
          <w:rFonts w:ascii="Times" w:hAnsi="Times" w:cs="Times"/>
          <w:sz w:val="26"/>
          <w:szCs w:val="26"/>
          <w:lang w:eastAsia="en-US"/>
        </w:rPr>
        <w:t xml:space="preserve">A própria </w:t>
      </w:r>
      <w:r w:rsidRPr="002461E2">
        <w:rPr>
          <w:rFonts w:ascii="Times" w:hAnsi="Times" w:cs="Times"/>
          <w:sz w:val="26"/>
          <w:szCs w:val="26"/>
        </w:rPr>
        <w:t xml:space="preserve">Secretaria Especial dos Direitos Humanos da Presidência da República </w:t>
      </w:r>
      <w:r w:rsidRPr="002461E2">
        <w:rPr>
          <w:rFonts w:ascii="Times" w:hAnsi="Times" w:cs="Times"/>
          <w:sz w:val="26"/>
          <w:szCs w:val="26"/>
          <w:lang w:eastAsia="en-US"/>
        </w:rPr>
        <w:t xml:space="preserve">definiu como parte </w:t>
      </w:r>
      <w:r w:rsidRPr="002461E2">
        <w:rPr>
          <w:rFonts w:ascii="Times" w:hAnsi="Times" w:cs="Times"/>
          <w:sz w:val="26"/>
          <w:szCs w:val="26"/>
        </w:rPr>
        <w:t xml:space="preserve">Programa Nacional de Direitos Humanos (PNDH-3) </w:t>
      </w:r>
      <w:r w:rsidR="00564A6D" w:rsidRPr="002461E2">
        <w:rPr>
          <w:rFonts w:ascii="Times" w:hAnsi="Times" w:cs="Times"/>
          <w:sz w:val="26"/>
          <w:szCs w:val="26"/>
        </w:rPr>
        <w:t>“</w:t>
      </w:r>
      <w:r w:rsidRPr="002461E2">
        <w:rPr>
          <w:rFonts w:ascii="Times" w:hAnsi="Times" w:cs="Times"/>
          <w:sz w:val="26"/>
          <w:szCs w:val="26"/>
        </w:rPr>
        <w:t>Estabelecer diretrizes que garantam tratamento adequado às pessoas com transtornos mentais em consonância com o princípio de desinstitucionalização</w:t>
      </w:r>
      <w:r w:rsidR="00564A6D" w:rsidRPr="002461E2">
        <w:rPr>
          <w:rFonts w:ascii="Times" w:hAnsi="Times" w:cs="Times"/>
          <w:sz w:val="26"/>
          <w:szCs w:val="26"/>
        </w:rPr>
        <w:t>”</w:t>
      </w:r>
      <w:r w:rsidR="00564A6D" w:rsidRPr="002461E2">
        <w:rPr>
          <w:rStyle w:val="Refdenotaderodap"/>
          <w:rFonts w:ascii="Times" w:hAnsi="Times" w:cs="Times"/>
          <w:sz w:val="26"/>
          <w:szCs w:val="26"/>
        </w:rPr>
        <w:footnoteReference w:id="14"/>
      </w:r>
      <w:r w:rsidR="00564A6D" w:rsidRPr="002461E2">
        <w:rPr>
          <w:rFonts w:ascii="Times" w:hAnsi="Times" w:cs="Times"/>
          <w:sz w:val="26"/>
          <w:szCs w:val="26"/>
        </w:rPr>
        <w:t>.</w:t>
      </w:r>
    </w:p>
    <w:p w14:paraId="3808958B" w14:textId="77777777" w:rsidR="00621157" w:rsidRPr="002461E2" w:rsidRDefault="00621157" w:rsidP="008C5400">
      <w:pPr>
        <w:spacing w:line="360" w:lineRule="auto"/>
        <w:rPr>
          <w:rFonts w:ascii="Times" w:hAnsi="Times" w:cs="Times"/>
          <w:sz w:val="26"/>
          <w:szCs w:val="26"/>
        </w:rPr>
      </w:pPr>
    </w:p>
    <w:p w14:paraId="254BE830" w14:textId="75C18BD4" w:rsidR="00B76970" w:rsidRDefault="00B76970" w:rsidP="008C5400">
      <w:pPr>
        <w:spacing w:line="360" w:lineRule="auto"/>
        <w:rPr>
          <w:rFonts w:ascii="Times" w:hAnsi="Times" w:cs="Times"/>
          <w:b/>
          <w:bCs/>
          <w:sz w:val="26"/>
          <w:szCs w:val="26"/>
        </w:rPr>
      </w:pPr>
      <w:r w:rsidRPr="002461E2">
        <w:rPr>
          <w:rFonts w:ascii="Times" w:hAnsi="Times" w:cs="Times"/>
          <w:b/>
          <w:bCs/>
          <w:sz w:val="26"/>
          <w:szCs w:val="26"/>
        </w:rPr>
        <w:lastRenderedPageBreak/>
        <w:t>Marco normativo da saúde mental</w:t>
      </w:r>
      <w:r w:rsidR="006E50E0" w:rsidRPr="002461E2">
        <w:rPr>
          <w:rFonts w:ascii="Times" w:hAnsi="Times" w:cs="Times"/>
          <w:b/>
          <w:bCs/>
          <w:sz w:val="26"/>
          <w:szCs w:val="26"/>
        </w:rPr>
        <w:t xml:space="preserve"> </w:t>
      </w:r>
      <w:r w:rsidR="00734E81" w:rsidRPr="002461E2">
        <w:rPr>
          <w:rFonts w:ascii="Times" w:hAnsi="Times" w:cs="Times"/>
          <w:b/>
          <w:bCs/>
          <w:sz w:val="26"/>
          <w:szCs w:val="26"/>
        </w:rPr>
        <w:t xml:space="preserve">encontra suas bases na Constituição e Legislação Federal: </w:t>
      </w:r>
      <w:r w:rsidR="006E50E0" w:rsidRPr="002461E2">
        <w:rPr>
          <w:rFonts w:ascii="Times" w:hAnsi="Times" w:cs="Times"/>
          <w:b/>
          <w:bCs/>
          <w:sz w:val="26"/>
          <w:szCs w:val="26"/>
        </w:rPr>
        <w:t>inviabilidade da revogação por simples portaria</w:t>
      </w:r>
      <w:r w:rsidR="0003009B" w:rsidRPr="002461E2">
        <w:rPr>
          <w:rFonts w:ascii="Times" w:hAnsi="Times" w:cs="Times"/>
          <w:b/>
          <w:bCs/>
          <w:sz w:val="26"/>
          <w:szCs w:val="26"/>
        </w:rPr>
        <w:t xml:space="preserve"> </w:t>
      </w:r>
    </w:p>
    <w:p w14:paraId="1D1E2E31" w14:textId="77777777" w:rsidR="00E22D85" w:rsidRPr="002461E2" w:rsidRDefault="00E22D85" w:rsidP="008C5400">
      <w:pPr>
        <w:spacing w:line="360" w:lineRule="auto"/>
        <w:rPr>
          <w:rFonts w:ascii="Times" w:hAnsi="Times" w:cs="Times"/>
          <w:b/>
          <w:bCs/>
          <w:sz w:val="26"/>
          <w:szCs w:val="26"/>
        </w:rPr>
      </w:pPr>
    </w:p>
    <w:p w14:paraId="693CA30D" w14:textId="7FDB1384" w:rsidR="0021456F" w:rsidRPr="002461E2" w:rsidRDefault="009C2F8E" w:rsidP="008C5400">
      <w:pPr>
        <w:spacing w:line="360" w:lineRule="auto"/>
        <w:rPr>
          <w:rFonts w:ascii="Times" w:hAnsi="Times" w:cs="Times"/>
          <w:sz w:val="26"/>
          <w:szCs w:val="26"/>
        </w:rPr>
      </w:pPr>
      <w:r w:rsidRPr="002461E2">
        <w:rPr>
          <w:rFonts w:ascii="Times" w:hAnsi="Times" w:cs="Times"/>
          <w:sz w:val="26"/>
          <w:szCs w:val="26"/>
        </w:rPr>
        <w:tab/>
      </w:r>
      <w:r w:rsidR="00B46136" w:rsidRPr="002461E2">
        <w:rPr>
          <w:rFonts w:ascii="Times" w:hAnsi="Times" w:cs="Times"/>
          <w:sz w:val="26"/>
          <w:szCs w:val="26"/>
        </w:rPr>
        <w:t>Qualquer mudança em portarias de saúde mental, deve observar</w:t>
      </w:r>
      <w:r w:rsidRPr="002461E2">
        <w:rPr>
          <w:rFonts w:ascii="Times" w:hAnsi="Times" w:cs="Times"/>
          <w:sz w:val="26"/>
          <w:szCs w:val="26"/>
        </w:rPr>
        <w:t xml:space="preserve"> </w:t>
      </w:r>
      <w:r w:rsidR="00B46136" w:rsidRPr="002461E2">
        <w:rPr>
          <w:rFonts w:ascii="Times" w:hAnsi="Times" w:cs="Times"/>
          <w:sz w:val="26"/>
          <w:szCs w:val="26"/>
        </w:rPr>
        <w:t>Convenção Internacional sobre os Direitos das Pessoas com Deficiência, incorporada como emenda constitucional</w:t>
      </w:r>
      <w:r w:rsidR="00B46136" w:rsidRPr="002461E2">
        <w:rPr>
          <w:rStyle w:val="Refdenotaderodap"/>
          <w:rFonts w:ascii="Times" w:hAnsi="Times" w:cs="Times"/>
          <w:sz w:val="26"/>
          <w:szCs w:val="26"/>
        </w:rPr>
        <w:footnoteReference w:id="15"/>
      </w:r>
      <w:r w:rsidR="00B46136" w:rsidRPr="002461E2">
        <w:rPr>
          <w:rFonts w:ascii="Times" w:hAnsi="Times" w:cs="Times"/>
          <w:sz w:val="26"/>
          <w:szCs w:val="26"/>
        </w:rPr>
        <w:t xml:space="preserve">, </w:t>
      </w:r>
      <w:r w:rsidR="005F0AF9" w:rsidRPr="002461E2">
        <w:rPr>
          <w:rFonts w:ascii="Times" w:hAnsi="Times" w:cs="Times"/>
          <w:sz w:val="26"/>
          <w:szCs w:val="26"/>
        </w:rPr>
        <w:t xml:space="preserve">as demais convenções internacionais das quais o Brasil é signatário, inclusive o </w:t>
      </w:r>
      <w:r w:rsidR="005F0AF9" w:rsidRPr="002461E2">
        <w:rPr>
          <w:rFonts w:ascii="Times" w:hAnsi="Times" w:cs="Times"/>
          <w:sz w:val="26"/>
          <w:szCs w:val="26"/>
          <w:lang w:eastAsia="en-US"/>
        </w:rPr>
        <w:t>Pacto de San José da Costa Rica (Convenção Americana de Direitos Humanos),</w:t>
      </w:r>
      <w:r w:rsidR="005F0AF9" w:rsidRPr="002461E2">
        <w:rPr>
          <w:rFonts w:ascii="Times" w:hAnsi="Times" w:cs="Times"/>
          <w:sz w:val="26"/>
          <w:szCs w:val="26"/>
          <w:vertAlign w:val="superscript"/>
          <w:lang w:eastAsia="en-US"/>
        </w:rPr>
        <w:footnoteReference w:id="16"/>
      </w:r>
      <w:r w:rsidR="005F0AF9" w:rsidRPr="002461E2">
        <w:rPr>
          <w:rFonts w:ascii="Times" w:hAnsi="Times" w:cs="Times"/>
          <w:sz w:val="26"/>
          <w:szCs w:val="26"/>
          <w:lang w:eastAsia="en-US"/>
        </w:rPr>
        <w:t xml:space="preserve"> </w:t>
      </w:r>
      <w:r w:rsidR="00B46136" w:rsidRPr="002461E2">
        <w:rPr>
          <w:rFonts w:ascii="Times" w:hAnsi="Times" w:cs="Times"/>
          <w:sz w:val="26"/>
          <w:szCs w:val="26"/>
        </w:rPr>
        <w:t>assim como a Lei n. 10.216/2001</w:t>
      </w:r>
      <w:r w:rsidR="00251D4E" w:rsidRPr="002461E2">
        <w:rPr>
          <w:rFonts w:ascii="Times" w:hAnsi="Times" w:cs="Times"/>
          <w:sz w:val="26"/>
          <w:szCs w:val="26"/>
        </w:rPr>
        <w:t>, e a</w:t>
      </w:r>
      <w:r w:rsidR="00B46136" w:rsidRPr="002461E2">
        <w:rPr>
          <w:rFonts w:ascii="Times" w:hAnsi="Times" w:cs="Times"/>
          <w:sz w:val="26"/>
          <w:szCs w:val="26"/>
        </w:rPr>
        <w:t xml:space="preserve"> Lei n. 11.343/2006</w:t>
      </w:r>
      <w:r w:rsidR="00251D4E" w:rsidRPr="002461E2">
        <w:rPr>
          <w:rFonts w:ascii="Times" w:hAnsi="Times" w:cs="Times"/>
          <w:sz w:val="26"/>
          <w:szCs w:val="26"/>
        </w:rPr>
        <w:t>, e Lei Brasileira de Inclusão (Lei 13.146/2015)</w:t>
      </w:r>
      <w:r w:rsidR="008C5400" w:rsidRPr="002461E2">
        <w:rPr>
          <w:rFonts w:ascii="Times" w:hAnsi="Times" w:cs="Times"/>
          <w:sz w:val="26"/>
          <w:szCs w:val="26"/>
        </w:rPr>
        <w:t>. Como adverte a doutrina:</w:t>
      </w:r>
    </w:p>
    <w:p w14:paraId="295D9C32" w14:textId="38F6C12A" w:rsidR="0021456F" w:rsidRPr="002461E2" w:rsidRDefault="00D65C77" w:rsidP="008C5400">
      <w:pPr>
        <w:spacing w:line="240" w:lineRule="auto"/>
        <w:ind w:left="2124"/>
        <w:rPr>
          <w:rFonts w:ascii="Times" w:hAnsi="Times" w:cs="Times"/>
          <w:i/>
          <w:iCs/>
          <w:sz w:val="26"/>
          <w:szCs w:val="26"/>
        </w:rPr>
      </w:pPr>
      <w:r w:rsidRPr="002461E2">
        <w:rPr>
          <w:rFonts w:ascii="Times" w:hAnsi="Times" w:cs="Times"/>
          <w:i/>
          <w:iCs/>
          <w:sz w:val="26"/>
          <w:szCs w:val="26"/>
        </w:rPr>
        <w:t>“</w:t>
      </w:r>
      <w:r w:rsidR="0021456F" w:rsidRPr="002461E2">
        <w:rPr>
          <w:rFonts w:ascii="Times" w:hAnsi="Times" w:cs="Times"/>
          <w:i/>
          <w:iCs/>
          <w:sz w:val="26"/>
          <w:szCs w:val="26"/>
        </w:rPr>
        <w:t xml:space="preserve">Em nosso país, a conclusão do caráter excepcional da internação ganha reforço também com a incorporação da </w:t>
      </w:r>
      <w:bookmarkStart w:id="0" w:name="_Hlk58754848"/>
      <w:r w:rsidR="0021456F" w:rsidRPr="002461E2">
        <w:rPr>
          <w:rFonts w:ascii="Times" w:hAnsi="Times" w:cs="Times"/>
          <w:i/>
          <w:iCs/>
          <w:sz w:val="26"/>
          <w:szCs w:val="26"/>
        </w:rPr>
        <w:t>Convenção Internacional sobre os Direitos das Pessoas com Deficiência</w:t>
      </w:r>
      <w:bookmarkEnd w:id="0"/>
      <w:r w:rsidR="0021456F" w:rsidRPr="002461E2">
        <w:rPr>
          <w:rFonts w:ascii="Times" w:hAnsi="Times" w:cs="Times"/>
          <w:i/>
          <w:iCs/>
          <w:sz w:val="26"/>
          <w:szCs w:val="26"/>
        </w:rPr>
        <w:t xml:space="preserve">, que se estende em sentido amplo na proteção da atenção à saúde mental. Acrescenta-se ainda o teor da Lei de Saúde Mental (Lei n. 10.216/2001), cujo art. 4º é claro ao advertir que: “A internação, em qualquer de suas modalidades, só será indicada quando os recursos extra-hospitalares se mostrarem insuficientes”. Esta redação é repetida no art. 23-A, § 6º da Lei n. 11.343/2006, consoante a </w:t>
      </w:r>
      <w:r w:rsidR="00B46136" w:rsidRPr="002461E2">
        <w:rPr>
          <w:rFonts w:ascii="Times" w:hAnsi="Times" w:cs="Times"/>
          <w:i/>
          <w:iCs/>
          <w:sz w:val="26"/>
          <w:szCs w:val="26"/>
        </w:rPr>
        <w:t>texto vigente</w:t>
      </w:r>
      <w:r w:rsidR="0021456F" w:rsidRPr="002461E2">
        <w:rPr>
          <w:rFonts w:ascii="Times" w:hAnsi="Times" w:cs="Times"/>
          <w:i/>
          <w:iCs/>
          <w:sz w:val="26"/>
          <w:szCs w:val="26"/>
        </w:rPr>
        <w:t xml:space="preserve"> estabelecid</w:t>
      </w:r>
      <w:r w:rsidR="00B46136" w:rsidRPr="002461E2">
        <w:rPr>
          <w:rFonts w:ascii="Times" w:hAnsi="Times" w:cs="Times"/>
          <w:i/>
          <w:iCs/>
          <w:sz w:val="26"/>
          <w:szCs w:val="26"/>
        </w:rPr>
        <w:t>o</w:t>
      </w:r>
      <w:r w:rsidR="0021456F" w:rsidRPr="002461E2">
        <w:rPr>
          <w:rFonts w:ascii="Times" w:hAnsi="Times" w:cs="Times"/>
          <w:i/>
          <w:iCs/>
          <w:sz w:val="26"/>
          <w:szCs w:val="26"/>
        </w:rPr>
        <w:t xml:space="preserve"> pela Lei n. 13.840/2019</w:t>
      </w:r>
      <w:r w:rsidRPr="002461E2">
        <w:rPr>
          <w:rFonts w:ascii="Times" w:hAnsi="Times" w:cs="Times"/>
          <w:i/>
          <w:iCs/>
          <w:sz w:val="26"/>
          <w:szCs w:val="26"/>
        </w:rPr>
        <w:t>”</w:t>
      </w:r>
      <w:r w:rsidRPr="002461E2">
        <w:rPr>
          <w:rStyle w:val="Refdenotaderodap"/>
          <w:rFonts w:ascii="Times" w:hAnsi="Times" w:cs="Times"/>
          <w:sz w:val="26"/>
          <w:szCs w:val="26"/>
        </w:rPr>
        <w:footnoteReference w:id="17"/>
      </w:r>
      <w:r w:rsidR="0021456F" w:rsidRPr="002461E2">
        <w:rPr>
          <w:rFonts w:ascii="Times" w:hAnsi="Times" w:cs="Times"/>
          <w:i/>
          <w:iCs/>
          <w:sz w:val="26"/>
          <w:szCs w:val="26"/>
        </w:rPr>
        <w:t>.</w:t>
      </w:r>
    </w:p>
    <w:p w14:paraId="6C66C2FF" w14:textId="77777777" w:rsidR="0021456F" w:rsidRPr="002461E2" w:rsidRDefault="0021456F" w:rsidP="008C5400">
      <w:pPr>
        <w:spacing w:line="360" w:lineRule="auto"/>
        <w:rPr>
          <w:rFonts w:ascii="Times" w:hAnsi="Times" w:cs="Times"/>
          <w:sz w:val="26"/>
          <w:szCs w:val="26"/>
        </w:rPr>
      </w:pPr>
    </w:p>
    <w:p w14:paraId="74B7F49C" w14:textId="34B5D164" w:rsidR="00931196" w:rsidRPr="002461E2" w:rsidRDefault="00734E81" w:rsidP="008C5400">
      <w:pPr>
        <w:autoSpaceDE w:val="0"/>
        <w:autoSpaceDN w:val="0"/>
        <w:adjustRightInd w:val="0"/>
        <w:spacing w:line="360" w:lineRule="auto"/>
        <w:ind w:firstLine="709"/>
        <w:rPr>
          <w:rFonts w:ascii="Times" w:hAnsi="Times" w:cs="Times"/>
          <w:sz w:val="26"/>
          <w:szCs w:val="26"/>
        </w:rPr>
      </w:pPr>
      <w:r w:rsidRPr="002461E2">
        <w:rPr>
          <w:rFonts w:ascii="Times" w:hAnsi="Times" w:cs="Times"/>
          <w:sz w:val="26"/>
          <w:szCs w:val="26"/>
          <w:lang w:eastAsia="en-US"/>
        </w:rPr>
        <w:t>Vale lembrar que o caráter absolutamente excepcional da internação forçada foi consagrado na jurisprudência da Corte Interamericana de Direitos Humanos, justamente ao condenar o Estado brasileiro.</w:t>
      </w:r>
      <w:r w:rsidRPr="002461E2">
        <w:rPr>
          <w:rFonts w:ascii="Times" w:hAnsi="Times" w:cs="Times"/>
          <w:sz w:val="26"/>
          <w:szCs w:val="26"/>
          <w:vertAlign w:val="superscript"/>
          <w:lang w:eastAsia="en-US"/>
        </w:rPr>
        <w:footnoteReference w:id="18"/>
      </w:r>
      <w:r w:rsidRPr="002461E2">
        <w:rPr>
          <w:rFonts w:ascii="Times" w:hAnsi="Times" w:cs="Times"/>
          <w:sz w:val="26"/>
          <w:szCs w:val="26"/>
          <w:lang w:eastAsia="en-US"/>
        </w:rPr>
        <w:t xml:space="preserve"> </w:t>
      </w:r>
      <w:r w:rsidR="005F0AF9" w:rsidRPr="002461E2">
        <w:rPr>
          <w:rFonts w:ascii="Times" w:hAnsi="Times" w:cs="Times"/>
          <w:sz w:val="26"/>
          <w:szCs w:val="26"/>
          <w:lang w:eastAsia="en-US"/>
        </w:rPr>
        <w:t xml:space="preserve"> </w:t>
      </w:r>
      <w:r w:rsidR="00931196" w:rsidRPr="002461E2">
        <w:rPr>
          <w:rFonts w:ascii="Times" w:hAnsi="Times" w:cs="Times"/>
          <w:sz w:val="26"/>
          <w:szCs w:val="26"/>
        </w:rPr>
        <w:t xml:space="preserve">É marcante que o primeiro enunciado do Conselho Nacional de Justiça (CNJ) a respeito de saúde, aprovado no I Jornada do Fórum Nacional da Saúde, em 2014, estabeleça: </w:t>
      </w:r>
    </w:p>
    <w:p w14:paraId="3BB63775" w14:textId="66F233BE" w:rsidR="00931196" w:rsidRPr="002461E2" w:rsidRDefault="00931196" w:rsidP="00931196">
      <w:pPr>
        <w:autoSpaceDE w:val="0"/>
        <w:autoSpaceDN w:val="0"/>
        <w:adjustRightInd w:val="0"/>
        <w:spacing w:line="240" w:lineRule="auto"/>
        <w:ind w:left="2124"/>
        <w:rPr>
          <w:rFonts w:ascii="Times" w:hAnsi="Times" w:cs="Times"/>
          <w:i/>
          <w:iCs/>
          <w:sz w:val="26"/>
          <w:szCs w:val="26"/>
          <w:lang w:eastAsia="en-US"/>
        </w:rPr>
      </w:pPr>
      <w:r w:rsidRPr="002461E2">
        <w:rPr>
          <w:rFonts w:ascii="Times" w:hAnsi="Times" w:cs="Times"/>
          <w:i/>
          <w:iCs/>
          <w:sz w:val="26"/>
          <w:szCs w:val="26"/>
        </w:rPr>
        <w:t xml:space="preserve">“Nas demandas em tutela individual para internação de pacientes psiquiátricos e/ou com problemas de álcool, crack e outras drogas, quando deferida a obrigação de fazer contra o poder público para garantia de cuidado integral em saúde mental (de acordo com o laudo médico e/ou projeto terapêutico elaborado por profissionais de saúde mental do SUS), não é recomendável a determinação a priori de </w:t>
      </w:r>
      <w:r w:rsidRPr="002461E2">
        <w:rPr>
          <w:rFonts w:ascii="Times" w:hAnsi="Times" w:cs="Times"/>
          <w:i/>
          <w:iCs/>
          <w:sz w:val="26"/>
          <w:szCs w:val="26"/>
        </w:rPr>
        <w:lastRenderedPageBreak/>
        <w:t>internação psiquiátrica., tendo em vista inclusive o risco de institucionalização de pacientes por longos períodos”.</w:t>
      </w:r>
    </w:p>
    <w:p w14:paraId="66E9324C" w14:textId="00D4F002" w:rsidR="00931196" w:rsidRDefault="00931196" w:rsidP="008C5400">
      <w:pPr>
        <w:autoSpaceDE w:val="0"/>
        <w:autoSpaceDN w:val="0"/>
        <w:adjustRightInd w:val="0"/>
        <w:spacing w:line="360" w:lineRule="auto"/>
        <w:ind w:firstLine="709"/>
        <w:rPr>
          <w:rFonts w:ascii="Times" w:hAnsi="Times" w:cs="Times"/>
          <w:sz w:val="26"/>
          <w:szCs w:val="26"/>
          <w:lang w:eastAsia="en-US"/>
        </w:rPr>
      </w:pPr>
    </w:p>
    <w:p w14:paraId="06572305" w14:textId="2FC206B1" w:rsidR="00321532" w:rsidRPr="002461E2" w:rsidRDefault="00621157" w:rsidP="00321532">
      <w:pPr>
        <w:autoSpaceDE w:val="0"/>
        <w:autoSpaceDN w:val="0"/>
        <w:adjustRightInd w:val="0"/>
        <w:spacing w:line="360" w:lineRule="auto"/>
        <w:ind w:firstLine="709"/>
        <w:rPr>
          <w:rFonts w:ascii="Times" w:hAnsi="Times" w:cs="Times"/>
          <w:sz w:val="26"/>
          <w:szCs w:val="26"/>
          <w:lang w:eastAsia="en-US"/>
        </w:rPr>
      </w:pPr>
      <w:r w:rsidRPr="002461E2">
        <w:rPr>
          <w:rFonts w:ascii="Times" w:hAnsi="Times" w:cs="Times"/>
          <w:sz w:val="26"/>
          <w:szCs w:val="26"/>
          <w:lang w:eastAsia="en-US"/>
        </w:rPr>
        <w:t xml:space="preserve"> Além disso, segundo o Portal </w:t>
      </w:r>
      <w:r w:rsidR="00925FAE" w:rsidRPr="002461E2">
        <w:rPr>
          <w:rFonts w:ascii="Times" w:hAnsi="Times" w:cs="Times"/>
          <w:sz w:val="26"/>
          <w:szCs w:val="26"/>
        </w:rPr>
        <w:t>UOL “Outra proposta visa afrouxar o controle sobre internações involuntárias dos pacientes dependentes de drogas, retirando a necessidade de comunicação ao Ministério Público, como é feito hoje”</w:t>
      </w:r>
      <w:r w:rsidR="00925FAE" w:rsidRPr="002461E2">
        <w:rPr>
          <w:rStyle w:val="Refdenotaderodap"/>
          <w:rFonts w:ascii="Times" w:hAnsi="Times" w:cs="Times"/>
          <w:sz w:val="26"/>
          <w:szCs w:val="26"/>
        </w:rPr>
        <w:footnoteReference w:id="19"/>
      </w:r>
      <w:r w:rsidR="00925FAE" w:rsidRPr="002461E2">
        <w:rPr>
          <w:rFonts w:ascii="Times" w:hAnsi="Times" w:cs="Times"/>
          <w:sz w:val="26"/>
          <w:szCs w:val="26"/>
        </w:rPr>
        <w:t xml:space="preserve">, ocorre que tal exigência, além de ser decorrência do princípio constitucional do devido processo legal e do grau de invasão verificado na vida da pessoa, está previsto na </w:t>
      </w:r>
      <w:r w:rsidR="00925FAE" w:rsidRPr="002461E2">
        <w:rPr>
          <w:rFonts w:ascii="Times" w:hAnsi="Times" w:cs="Times"/>
          <w:sz w:val="26"/>
          <w:szCs w:val="26"/>
          <w:lang w:eastAsia="en-US"/>
        </w:rPr>
        <w:t>Lei n. 10.216/2001, art. 8º, § 1º</w:t>
      </w:r>
      <w:r w:rsidRPr="002461E2">
        <w:rPr>
          <w:rFonts w:ascii="Times" w:hAnsi="Times" w:cs="Times"/>
          <w:sz w:val="26"/>
          <w:szCs w:val="26"/>
          <w:lang w:eastAsia="en-US"/>
        </w:rPr>
        <w:t>. A comunicação das internações ao Ministério Público, é também</w:t>
      </w:r>
      <w:r w:rsidR="00734E81" w:rsidRPr="002461E2">
        <w:rPr>
          <w:rFonts w:ascii="Times" w:hAnsi="Times" w:cs="Times"/>
          <w:sz w:val="26"/>
          <w:szCs w:val="26"/>
          <w:lang w:eastAsia="en-US"/>
        </w:rPr>
        <w:t xml:space="preserve"> reforçad</w:t>
      </w:r>
      <w:r w:rsidRPr="002461E2">
        <w:rPr>
          <w:rFonts w:ascii="Times" w:hAnsi="Times" w:cs="Times"/>
          <w:sz w:val="26"/>
          <w:szCs w:val="26"/>
          <w:lang w:eastAsia="en-US"/>
        </w:rPr>
        <w:t>a</w:t>
      </w:r>
      <w:r w:rsidR="00734E81" w:rsidRPr="002461E2">
        <w:rPr>
          <w:rFonts w:ascii="Times" w:hAnsi="Times" w:cs="Times"/>
          <w:sz w:val="26"/>
          <w:szCs w:val="26"/>
          <w:lang w:eastAsia="en-US"/>
        </w:rPr>
        <w:t xml:space="preserve"> em diversas legislações estaduais</w:t>
      </w:r>
      <w:r w:rsidRPr="002461E2">
        <w:rPr>
          <w:rFonts w:ascii="Times" w:hAnsi="Times" w:cs="Times"/>
          <w:sz w:val="26"/>
          <w:szCs w:val="26"/>
          <w:lang w:eastAsia="en-US"/>
        </w:rPr>
        <w:t>, tal como no Paraná e Rio Grande do Sul</w:t>
      </w:r>
      <w:r w:rsidR="00734E81" w:rsidRPr="002461E2">
        <w:rPr>
          <w:rFonts w:ascii="Times" w:hAnsi="Times" w:cs="Times"/>
          <w:sz w:val="26"/>
          <w:szCs w:val="26"/>
          <w:lang w:eastAsia="en-US"/>
        </w:rPr>
        <w:t>.</w:t>
      </w:r>
      <w:r w:rsidR="00321532" w:rsidRPr="002461E2">
        <w:rPr>
          <w:rFonts w:ascii="Times" w:hAnsi="Times" w:cs="Times"/>
          <w:sz w:val="26"/>
          <w:szCs w:val="26"/>
          <w:lang w:eastAsia="en-US"/>
        </w:rPr>
        <w:t xml:space="preserve"> O art. 23-A, da Lei , incluído pela </w:t>
      </w:r>
      <w:r w:rsidR="00321532" w:rsidRPr="002461E2">
        <w:rPr>
          <w:rStyle w:val="fontstyle01"/>
          <w:rFonts w:ascii="Times" w:hAnsi="Times" w:cs="Times"/>
          <w:sz w:val="26"/>
          <w:szCs w:val="26"/>
        </w:rPr>
        <w:t>Lei n. 13.840/2019 estabelece que “Todas as</w:t>
      </w:r>
      <w:r w:rsidR="002461E2">
        <w:rPr>
          <w:rStyle w:val="fontstyle01"/>
          <w:rFonts w:ascii="Times" w:hAnsi="Times" w:cs="Times"/>
          <w:sz w:val="26"/>
          <w:szCs w:val="26"/>
        </w:rPr>
        <w:t xml:space="preserve"> </w:t>
      </w:r>
      <w:r w:rsidR="00321532" w:rsidRPr="002461E2">
        <w:rPr>
          <w:rStyle w:val="fontstyle01"/>
          <w:rFonts w:ascii="Times" w:hAnsi="Times" w:cs="Times"/>
          <w:sz w:val="26"/>
          <w:szCs w:val="26"/>
        </w:rPr>
        <w:t>internações e altas de que trata esta Lei deverão ser informadas, em, no máximo, de 72</w:t>
      </w:r>
      <w:r w:rsidR="002461E2">
        <w:rPr>
          <w:rStyle w:val="fontstyle01"/>
          <w:rFonts w:ascii="Times" w:hAnsi="Times" w:cs="Times"/>
          <w:sz w:val="26"/>
          <w:szCs w:val="26"/>
        </w:rPr>
        <w:t xml:space="preserve"> </w:t>
      </w:r>
      <w:r w:rsidR="00321532" w:rsidRPr="002461E2">
        <w:rPr>
          <w:rStyle w:val="fontstyle01"/>
          <w:rFonts w:ascii="Times" w:hAnsi="Times" w:cs="Times"/>
          <w:sz w:val="26"/>
          <w:szCs w:val="26"/>
        </w:rPr>
        <w:t>(setenta e duas) horas, ao Ministério Público, à Defensoria Pública e a outros órgãos de</w:t>
      </w:r>
      <w:r w:rsidR="002461E2">
        <w:rPr>
          <w:rStyle w:val="fontstyle01"/>
          <w:rFonts w:ascii="Times" w:hAnsi="Times" w:cs="Times"/>
          <w:sz w:val="26"/>
          <w:szCs w:val="26"/>
        </w:rPr>
        <w:t xml:space="preserve"> </w:t>
      </w:r>
      <w:r w:rsidR="00321532" w:rsidRPr="002461E2">
        <w:rPr>
          <w:rStyle w:val="fontstyle01"/>
          <w:rFonts w:ascii="Times" w:hAnsi="Times" w:cs="Times"/>
          <w:sz w:val="26"/>
          <w:szCs w:val="26"/>
        </w:rPr>
        <w:t>fiscalização, por meio de sistema informatizado único, na forma do regulamento desta Lei”.</w:t>
      </w:r>
    </w:p>
    <w:p w14:paraId="50BC6148" w14:textId="1652E886" w:rsidR="009D213D" w:rsidRPr="002461E2" w:rsidRDefault="009D213D" w:rsidP="009D213D">
      <w:pPr>
        <w:spacing w:line="360" w:lineRule="auto"/>
        <w:ind w:firstLine="708"/>
        <w:rPr>
          <w:rFonts w:ascii="Times" w:hAnsi="Times" w:cs="Times"/>
          <w:sz w:val="26"/>
          <w:szCs w:val="26"/>
        </w:rPr>
      </w:pPr>
      <w:r w:rsidRPr="002461E2">
        <w:rPr>
          <w:rFonts w:ascii="Times" w:hAnsi="Times" w:cs="Times"/>
          <w:sz w:val="26"/>
          <w:szCs w:val="26"/>
        </w:rPr>
        <w:t>Observa-se desta maneira a ilegalidade da proposta de revogação de portarias de saúde mental no SUS, sobretudo no contexto da COVID19, em que a demanda pela atenção à saúde mental se aprofundou. Nesse sentido, como adverte o diretor-geral da Organização Mundial da Saúde da “Agora está claro que as necessidades de saúde mental devem ser tratadas como um elemento central de nossa resposta e recuperação da pandemia de COVID-19”</w:t>
      </w:r>
      <w:r w:rsidRPr="002461E2">
        <w:rPr>
          <w:rStyle w:val="Refdenotaderodap"/>
          <w:rFonts w:ascii="Times" w:hAnsi="Times" w:cs="Times"/>
          <w:sz w:val="26"/>
          <w:szCs w:val="26"/>
        </w:rPr>
        <w:footnoteReference w:id="20"/>
      </w:r>
      <w:r w:rsidRPr="002461E2">
        <w:rPr>
          <w:rFonts w:ascii="Times" w:hAnsi="Times" w:cs="Times"/>
          <w:sz w:val="26"/>
          <w:szCs w:val="26"/>
        </w:rPr>
        <w:t xml:space="preserve">. As diretrizes da ONU são claramente voltadas a um modelo de saúde comunitária (Community-based) e </w:t>
      </w:r>
      <w:r w:rsidR="00C0699B" w:rsidRPr="00C0699B">
        <w:rPr>
          <w:rFonts w:ascii="Times" w:hAnsi="Times" w:cs="Times"/>
          <w:sz w:val="26"/>
          <w:szCs w:val="26"/>
        </w:rPr>
        <w:t>desinstitucionalização</w:t>
      </w:r>
      <w:r w:rsidR="00C0699B" w:rsidRPr="00C0699B">
        <w:rPr>
          <w:rFonts w:ascii="Times" w:hAnsi="Times" w:cs="Times"/>
          <w:sz w:val="26"/>
          <w:szCs w:val="26"/>
        </w:rPr>
        <w:t xml:space="preserve"> </w:t>
      </w:r>
      <w:r w:rsidRPr="002461E2">
        <w:rPr>
          <w:rFonts w:ascii="Times" w:hAnsi="Times" w:cs="Times"/>
          <w:sz w:val="26"/>
          <w:szCs w:val="26"/>
        </w:rPr>
        <w:t>(deinstitutionalization):</w:t>
      </w:r>
    </w:p>
    <w:p w14:paraId="65ECDED2" w14:textId="641D5258" w:rsidR="009D213D" w:rsidRDefault="002461E2" w:rsidP="00931196">
      <w:pPr>
        <w:spacing w:line="240" w:lineRule="auto"/>
        <w:ind w:left="1416"/>
        <w:rPr>
          <w:rFonts w:ascii="Times" w:hAnsi="Times" w:cs="Times"/>
          <w:b/>
          <w:bCs/>
          <w:i/>
          <w:iCs/>
          <w:sz w:val="26"/>
          <w:szCs w:val="26"/>
          <w:lang w:val="en-US"/>
        </w:rPr>
      </w:pPr>
      <w:r>
        <w:rPr>
          <w:rFonts w:ascii="Times" w:hAnsi="Times" w:cs="Times"/>
          <w:i/>
          <w:iCs/>
          <w:sz w:val="26"/>
          <w:szCs w:val="26"/>
          <w:lang w:val="en-US"/>
        </w:rPr>
        <w:t>“</w:t>
      </w:r>
      <w:r w:rsidR="009D213D" w:rsidRPr="002461E2">
        <w:rPr>
          <w:rFonts w:ascii="Times" w:hAnsi="Times" w:cs="Times"/>
          <w:i/>
          <w:iCs/>
          <w:sz w:val="26"/>
          <w:szCs w:val="26"/>
          <w:lang w:val="en-US"/>
        </w:rPr>
        <w:t xml:space="preserve">Despite decades of promoting deinstitutionalization, mental health service </w:t>
      </w:r>
      <w:r>
        <w:rPr>
          <w:rFonts w:ascii="Times" w:hAnsi="Times" w:cs="Times"/>
          <w:i/>
          <w:iCs/>
          <w:sz w:val="26"/>
          <w:szCs w:val="26"/>
          <w:lang w:val="en-US"/>
        </w:rPr>
        <w:t>"</w:t>
      </w:r>
      <w:r w:rsidR="009D213D" w:rsidRPr="002461E2">
        <w:rPr>
          <w:rFonts w:ascii="Times" w:hAnsi="Times" w:cs="Times"/>
          <w:i/>
          <w:iCs/>
          <w:sz w:val="26"/>
          <w:szCs w:val="26"/>
          <w:lang w:val="en-US"/>
        </w:rPr>
        <w:t xml:space="preserve">delivery is still largely dominated by hospital care, which absorbs the largest proportion of the mental health budget, particularly in LMICs. </w:t>
      </w:r>
      <w:r w:rsidR="009D213D" w:rsidRPr="002461E2">
        <w:rPr>
          <w:rFonts w:ascii="Times" w:hAnsi="Times" w:cs="Times"/>
          <w:b/>
          <w:bCs/>
          <w:i/>
          <w:iCs/>
          <w:sz w:val="26"/>
          <w:szCs w:val="26"/>
          <w:lang w:val="en-US"/>
        </w:rPr>
        <w:t xml:space="preserve">There is an urgent need for a radical shift in the way mental disorders are managed, </w:t>
      </w:r>
      <w:r w:rsidR="009D213D" w:rsidRPr="002461E2">
        <w:rPr>
          <w:rFonts w:ascii="Times" w:hAnsi="Times" w:cs="Times"/>
          <w:b/>
          <w:bCs/>
          <w:i/>
          <w:iCs/>
          <w:sz w:val="26"/>
          <w:szCs w:val="26"/>
          <w:lang w:val="en-US"/>
        </w:rPr>
        <w:lastRenderedPageBreak/>
        <w:t>away from long-term institutionalization and towards community-based mental health care</w:t>
      </w:r>
      <w:r>
        <w:rPr>
          <w:rFonts w:ascii="Times" w:hAnsi="Times" w:cs="Times"/>
          <w:b/>
          <w:bCs/>
          <w:i/>
          <w:iCs/>
          <w:sz w:val="26"/>
          <w:szCs w:val="26"/>
          <w:lang w:val="en-US"/>
        </w:rPr>
        <w:t>”</w:t>
      </w:r>
      <w:r w:rsidR="00141D56" w:rsidRPr="002461E2">
        <w:rPr>
          <w:rFonts w:ascii="Times" w:hAnsi="Times" w:cs="Times"/>
          <w:b/>
          <w:bCs/>
          <w:i/>
          <w:iCs/>
          <w:sz w:val="26"/>
          <w:szCs w:val="26"/>
          <w:lang w:val="en-US"/>
        </w:rPr>
        <w:t>.</w:t>
      </w:r>
      <w:r w:rsidR="00141D56" w:rsidRPr="002461E2">
        <w:rPr>
          <w:rStyle w:val="Refdenotaderodap"/>
          <w:rFonts w:ascii="Times" w:hAnsi="Times" w:cs="Times"/>
          <w:b/>
          <w:bCs/>
          <w:i/>
          <w:iCs/>
          <w:sz w:val="26"/>
          <w:szCs w:val="26"/>
          <w:lang w:val="en-US"/>
        </w:rPr>
        <w:footnoteReference w:id="21"/>
      </w:r>
    </w:p>
    <w:p w14:paraId="53ECE989" w14:textId="77777777" w:rsidR="00AC2F89" w:rsidRPr="002461E2" w:rsidRDefault="00AC2F89" w:rsidP="00931196">
      <w:pPr>
        <w:spacing w:line="240" w:lineRule="auto"/>
        <w:ind w:left="1416"/>
        <w:rPr>
          <w:rFonts w:ascii="Times" w:hAnsi="Times" w:cs="Times"/>
          <w:i/>
          <w:iCs/>
          <w:sz w:val="26"/>
          <w:szCs w:val="26"/>
          <w:lang w:val="en-US"/>
        </w:rPr>
      </w:pPr>
    </w:p>
    <w:p w14:paraId="64448D61" w14:textId="2ABB8CB1" w:rsidR="00621157" w:rsidRPr="002461E2" w:rsidRDefault="009970B8" w:rsidP="005F0AF9">
      <w:pPr>
        <w:spacing w:line="360" w:lineRule="auto"/>
        <w:rPr>
          <w:rFonts w:ascii="Times" w:hAnsi="Times" w:cs="Times"/>
          <w:sz w:val="26"/>
          <w:szCs w:val="26"/>
        </w:rPr>
      </w:pPr>
      <w:r w:rsidRPr="002461E2">
        <w:rPr>
          <w:rFonts w:ascii="Times" w:hAnsi="Times" w:cs="Times"/>
          <w:sz w:val="26"/>
          <w:szCs w:val="26"/>
          <w:lang w:val="en-US"/>
        </w:rPr>
        <w:tab/>
      </w:r>
      <w:r w:rsidR="00141D56" w:rsidRPr="002461E2">
        <w:rPr>
          <w:rFonts w:ascii="Times" w:hAnsi="Times" w:cs="Times"/>
          <w:sz w:val="26"/>
          <w:szCs w:val="26"/>
        </w:rPr>
        <w:t>Há</w:t>
      </w:r>
      <w:r w:rsidRPr="002461E2">
        <w:rPr>
          <w:rFonts w:ascii="Times" w:hAnsi="Times" w:cs="Times"/>
          <w:sz w:val="26"/>
          <w:szCs w:val="26"/>
        </w:rPr>
        <w:t xml:space="preserve"> uma clara correspondência entre</w:t>
      </w:r>
      <w:r w:rsidR="00621157" w:rsidRPr="002461E2">
        <w:rPr>
          <w:rFonts w:ascii="Times" w:hAnsi="Times" w:cs="Times"/>
          <w:sz w:val="26"/>
          <w:szCs w:val="26"/>
        </w:rPr>
        <w:t xml:space="preserve"> a política do SUS voltada à humanização, a desinstitucionalização e a proteção da pessoa e à</w:t>
      </w:r>
      <w:r w:rsidRPr="002461E2">
        <w:rPr>
          <w:rFonts w:ascii="Times" w:hAnsi="Times" w:cs="Times"/>
          <w:sz w:val="26"/>
          <w:szCs w:val="26"/>
        </w:rPr>
        <w:t xml:space="preserve"> legislação</w:t>
      </w:r>
      <w:r w:rsidR="00621157" w:rsidRPr="002461E2">
        <w:rPr>
          <w:rFonts w:ascii="Times" w:hAnsi="Times" w:cs="Times"/>
          <w:sz w:val="26"/>
          <w:szCs w:val="26"/>
        </w:rPr>
        <w:t xml:space="preserve"> federal</w:t>
      </w:r>
      <w:r w:rsidRPr="002461E2">
        <w:rPr>
          <w:rFonts w:ascii="Times" w:hAnsi="Times" w:cs="Times"/>
          <w:sz w:val="26"/>
          <w:szCs w:val="26"/>
        </w:rPr>
        <w:t xml:space="preserve">. </w:t>
      </w:r>
      <w:r w:rsidR="007D3B43" w:rsidRPr="002461E2">
        <w:rPr>
          <w:rFonts w:ascii="Times" w:hAnsi="Times" w:cs="Times"/>
          <w:sz w:val="26"/>
          <w:szCs w:val="26"/>
        </w:rPr>
        <w:t xml:space="preserve">É possível identificar, a partir do </w:t>
      </w:r>
      <w:r w:rsidR="005F0AF9" w:rsidRPr="002461E2">
        <w:rPr>
          <w:rFonts w:ascii="Times" w:hAnsi="Times" w:cs="Times"/>
          <w:sz w:val="26"/>
          <w:szCs w:val="26"/>
        </w:rPr>
        <w:t>“cotejo entre as normas constitucionais dispostas na CDPD, a Lei de Saúde Mental e as diretrizes da Rede de Atenção Psicossocial (RAPS), permite notar a evidente correspondência entre as normas constitucionais e a política antimanicomial consagrada na legislação infralegal”</w:t>
      </w:r>
      <w:r w:rsidR="007D3B43" w:rsidRPr="002461E2">
        <w:rPr>
          <w:rFonts w:ascii="Times" w:hAnsi="Times" w:cs="Times"/>
          <w:sz w:val="26"/>
          <w:szCs w:val="26"/>
        </w:rPr>
        <w:t>.</w:t>
      </w:r>
      <w:r w:rsidR="007D3B43" w:rsidRPr="002461E2">
        <w:rPr>
          <w:rStyle w:val="Refdenotaderodap"/>
          <w:rFonts w:ascii="Times" w:hAnsi="Times" w:cs="Times"/>
          <w:sz w:val="26"/>
          <w:szCs w:val="26"/>
        </w:rPr>
        <w:footnoteReference w:id="22"/>
      </w:r>
      <w:r w:rsidR="007D3B43" w:rsidRPr="002461E2">
        <w:rPr>
          <w:rFonts w:ascii="Times" w:hAnsi="Times" w:cs="Times"/>
          <w:sz w:val="26"/>
          <w:szCs w:val="26"/>
        </w:rPr>
        <w:t xml:space="preserve"> </w:t>
      </w:r>
    </w:p>
    <w:p w14:paraId="08A35FC2" w14:textId="3C7E5B9A" w:rsidR="009970B8" w:rsidRDefault="00621157" w:rsidP="008C5400">
      <w:pPr>
        <w:spacing w:line="360" w:lineRule="auto"/>
        <w:ind w:firstLine="708"/>
        <w:rPr>
          <w:rFonts w:ascii="Times" w:hAnsi="Times" w:cs="Times"/>
          <w:sz w:val="26"/>
          <w:szCs w:val="26"/>
          <w:lang w:eastAsia="en-US"/>
        </w:rPr>
      </w:pPr>
      <w:r w:rsidRPr="002461E2">
        <w:rPr>
          <w:rFonts w:ascii="Times" w:hAnsi="Times" w:cs="Times"/>
          <w:sz w:val="26"/>
          <w:szCs w:val="26"/>
        </w:rPr>
        <w:t>Nesse sentido, a</w:t>
      </w:r>
      <w:r w:rsidR="009970B8" w:rsidRPr="002461E2">
        <w:rPr>
          <w:rFonts w:ascii="Times" w:hAnsi="Times" w:cs="Times"/>
          <w:sz w:val="26"/>
          <w:szCs w:val="26"/>
          <w:lang w:eastAsia="en-US"/>
        </w:rPr>
        <w:t xml:space="preserve"> Lei n. 11.343/2006 (Lei de Drogas), ao disciplinar a atenção ao usuário de drogas, </w:t>
      </w:r>
      <w:r w:rsidRPr="002461E2">
        <w:rPr>
          <w:rFonts w:ascii="Times" w:hAnsi="Times" w:cs="Times"/>
          <w:sz w:val="26"/>
          <w:szCs w:val="26"/>
          <w:lang w:eastAsia="en-US"/>
        </w:rPr>
        <w:t>impõe</w:t>
      </w:r>
      <w:r w:rsidR="009970B8" w:rsidRPr="002461E2">
        <w:rPr>
          <w:rFonts w:ascii="Times" w:hAnsi="Times" w:cs="Times"/>
          <w:sz w:val="26"/>
          <w:szCs w:val="26"/>
          <w:lang w:eastAsia="en-US"/>
        </w:rPr>
        <w:t xml:space="preserve"> a “definição de projeto terapêutico individualizado, orientado para a inclusão social e para a redução de riscos e de danos sociais e à saúde” (art. 22, inc. III) e “adoção de estratégias diferenciadas de atenção e reinserção social do usuário e do dependente de drogas e respectivos familiares que considerem as suas peculiaridades socioculturais” (art. 22, inc. II)”. </w:t>
      </w:r>
      <w:r w:rsidRPr="002461E2">
        <w:rPr>
          <w:rFonts w:ascii="Times" w:hAnsi="Times" w:cs="Times"/>
          <w:sz w:val="26"/>
          <w:szCs w:val="26"/>
          <w:lang w:eastAsia="en-US"/>
        </w:rPr>
        <w:t>Ademais, a</w:t>
      </w:r>
      <w:r w:rsidR="009970B8" w:rsidRPr="002461E2">
        <w:rPr>
          <w:rFonts w:ascii="Times" w:hAnsi="Times" w:cs="Times"/>
          <w:sz w:val="26"/>
          <w:szCs w:val="26"/>
          <w:lang w:eastAsia="en-US"/>
        </w:rPr>
        <w:t xml:space="preserve"> Lei n. 10.216/2011, determina a utilização dos “meios menos invasivos possíveis” (art. 2º, inc. VIII). O projeto terapêutico singular é também assegurado pela Portaria n. 3.088/2011, do Ministério da Saúde, arts. 7º, 9º e 10, recepcionada na Portaria de Consolidação n. 03/2017 do Ministério da Saúde, em seu Anexo V. Também está previsto em outros diplomas.</w:t>
      </w:r>
    </w:p>
    <w:p w14:paraId="4DB19FC7" w14:textId="77777777" w:rsidR="00326D10" w:rsidRDefault="001F1306" w:rsidP="001F1306">
      <w:pPr>
        <w:spacing w:line="360" w:lineRule="auto"/>
        <w:ind w:firstLine="708"/>
        <w:rPr>
          <w:rFonts w:ascii="Times" w:hAnsi="Times" w:cs="Times"/>
          <w:i/>
          <w:iCs/>
          <w:sz w:val="26"/>
          <w:szCs w:val="26"/>
          <w:lang w:eastAsia="en-US"/>
        </w:rPr>
      </w:pPr>
      <w:r>
        <w:rPr>
          <w:rFonts w:ascii="Times" w:hAnsi="Times" w:cs="Times"/>
          <w:sz w:val="26"/>
          <w:szCs w:val="26"/>
          <w:lang w:eastAsia="en-US"/>
        </w:rPr>
        <w:t xml:space="preserve">De acordo com a Folha de S. Paulo, o </w:t>
      </w:r>
      <w:r w:rsidRPr="001F1306">
        <w:rPr>
          <w:rFonts w:ascii="Times" w:hAnsi="Times" w:cs="Times"/>
          <w:sz w:val="26"/>
          <w:szCs w:val="26"/>
          <w:lang w:eastAsia="en-US"/>
        </w:rPr>
        <w:t>Ministério da Saúde</w:t>
      </w:r>
      <w:r>
        <w:rPr>
          <w:rFonts w:ascii="Times" w:hAnsi="Times" w:cs="Times"/>
          <w:sz w:val="26"/>
          <w:szCs w:val="26"/>
          <w:lang w:eastAsia="en-US"/>
        </w:rPr>
        <w:t xml:space="preserve"> argumento que “</w:t>
      </w:r>
      <w:r w:rsidRPr="001F1306">
        <w:rPr>
          <w:rFonts w:ascii="Times" w:hAnsi="Times" w:cs="Times"/>
          <w:sz w:val="26"/>
          <w:szCs w:val="26"/>
          <w:lang w:eastAsia="en-US"/>
        </w:rPr>
        <w:t>do grande número de portarias</w:t>
      </w:r>
      <w:r>
        <w:rPr>
          <w:rFonts w:ascii="Times" w:hAnsi="Times" w:cs="Times"/>
          <w:sz w:val="26"/>
          <w:szCs w:val="26"/>
          <w:lang w:eastAsia="en-US"/>
        </w:rPr>
        <w:t>” seria circunstância que “</w:t>
      </w:r>
      <w:r w:rsidRPr="001F1306">
        <w:rPr>
          <w:rFonts w:ascii="Times" w:hAnsi="Times" w:cs="Times"/>
          <w:sz w:val="26"/>
          <w:szCs w:val="26"/>
          <w:lang w:eastAsia="en-US"/>
        </w:rPr>
        <w:t>confunde gestores e dificulta o trabalho</w:t>
      </w:r>
      <w:r>
        <w:rPr>
          <w:rFonts w:ascii="Times" w:hAnsi="Times" w:cs="Times"/>
          <w:sz w:val="26"/>
          <w:szCs w:val="26"/>
          <w:lang w:eastAsia="en-US"/>
        </w:rPr>
        <w:t>”, o que é um argumento que não justifica revogação de legislação, nem foi demonstrado. Além disso, argumentou-se “</w:t>
      </w:r>
      <w:r w:rsidRPr="001F1306">
        <w:rPr>
          <w:rFonts w:ascii="Times" w:hAnsi="Times" w:cs="Times"/>
          <w:sz w:val="26"/>
          <w:szCs w:val="26"/>
          <w:lang w:eastAsia="en-US"/>
        </w:rPr>
        <w:t>elevação das taxas de suicídio e de lesões autoprovocadas</w:t>
      </w:r>
      <w:r>
        <w:rPr>
          <w:rFonts w:ascii="Times" w:hAnsi="Times" w:cs="Times"/>
          <w:sz w:val="26"/>
          <w:szCs w:val="26"/>
          <w:lang w:eastAsia="en-US"/>
        </w:rPr>
        <w:t xml:space="preserve">”, sem estabelecer a correlação entre causa e efeito. </w:t>
      </w:r>
      <w:r w:rsidR="00326D10">
        <w:rPr>
          <w:rFonts w:ascii="Times" w:hAnsi="Times" w:cs="Times"/>
          <w:sz w:val="26"/>
          <w:szCs w:val="26"/>
          <w:lang w:eastAsia="en-US"/>
        </w:rPr>
        <w:t>Não é necessário formação em saúde para concluir que i</w:t>
      </w:r>
      <w:r>
        <w:rPr>
          <w:rFonts w:ascii="Times" w:hAnsi="Times" w:cs="Times"/>
          <w:sz w:val="26"/>
          <w:szCs w:val="26"/>
          <w:lang w:eastAsia="en-US"/>
        </w:rPr>
        <w:t xml:space="preserve">nterromper </w:t>
      </w:r>
      <w:r w:rsidRPr="00326D10">
        <w:rPr>
          <w:rFonts w:ascii="Times" w:hAnsi="Times" w:cs="Times"/>
          <w:sz w:val="26"/>
          <w:szCs w:val="26"/>
          <w:lang w:eastAsia="en-US"/>
        </w:rPr>
        <w:t xml:space="preserve">atenção </w:t>
      </w:r>
      <w:r w:rsidR="00326D10" w:rsidRPr="00326D10">
        <w:rPr>
          <w:rFonts w:ascii="Times" w:hAnsi="Times" w:cs="Times"/>
          <w:sz w:val="26"/>
          <w:szCs w:val="26"/>
          <w:lang w:eastAsia="en-US"/>
        </w:rPr>
        <w:t>à</w:t>
      </w:r>
      <w:r>
        <w:rPr>
          <w:rFonts w:ascii="Times" w:hAnsi="Times" w:cs="Times"/>
          <w:sz w:val="26"/>
          <w:szCs w:val="26"/>
          <w:lang w:eastAsia="en-US"/>
        </w:rPr>
        <w:t xml:space="preserve"> saúde mental porque há muito suicídio é </w:t>
      </w:r>
      <w:r w:rsidRPr="001F1306">
        <w:rPr>
          <w:rFonts w:ascii="Times" w:hAnsi="Times" w:cs="Times"/>
          <w:i/>
          <w:iCs/>
          <w:sz w:val="26"/>
          <w:szCs w:val="26"/>
          <w:lang w:eastAsia="en-US"/>
        </w:rPr>
        <w:t>contradictio in terminis</w:t>
      </w:r>
      <w:r>
        <w:rPr>
          <w:rFonts w:ascii="Times" w:hAnsi="Times" w:cs="Times"/>
          <w:i/>
          <w:iCs/>
          <w:sz w:val="26"/>
          <w:szCs w:val="26"/>
          <w:lang w:eastAsia="en-US"/>
        </w:rPr>
        <w:t xml:space="preserve">. </w:t>
      </w:r>
    </w:p>
    <w:p w14:paraId="37B3EFD7" w14:textId="7FDC9E4B" w:rsidR="009074FA" w:rsidRDefault="001F1306" w:rsidP="001F1306">
      <w:pPr>
        <w:spacing w:line="360" w:lineRule="auto"/>
        <w:ind w:firstLine="708"/>
        <w:rPr>
          <w:rFonts w:ascii="Times" w:hAnsi="Times" w:cs="Times"/>
          <w:sz w:val="26"/>
          <w:szCs w:val="26"/>
        </w:rPr>
      </w:pPr>
      <w:r>
        <w:rPr>
          <w:rFonts w:ascii="Times" w:hAnsi="Times" w:cs="Times"/>
          <w:sz w:val="26"/>
          <w:szCs w:val="26"/>
        </w:rPr>
        <w:lastRenderedPageBreak/>
        <w:t xml:space="preserve">Em </w:t>
      </w:r>
      <w:r w:rsidR="00594C2E">
        <w:rPr>
          <w:rFonts w:ascii="Times" w:hAnsi="Times" w:cs="Times"/>
          <w:sz w:val="26"/>
          <w:szCs w:val="26"/>
        </w:rPr>
        <w:t xml:space="preserve">manifestação assinada pelo Conselho Federal de Psicologia </w:t>
      </w:r>
      <w:r>
        <w:rPr>
          <w:rFonts w:ascii="Times" w:hAnsi="Times" w:cs="Times"/>
          <w:sz w:val="26"/>
          <w:szCs w:val="26"/>
        </w:rPr>
        <w:t xml:space="preserve">(CFP) </w:t>
      </w:r>
      <w:r w:rsidR="00594C2E">
        <w:rPr>
          <w:rFonts w:ascii="Times" w:hAnsi="Times" w:cs="Times"/>
          <w:sz w:val="26"/>
          <w:szCs w:val="26"/>
        </w:rPr>
        <w:t xml:space="preserve">e </w:t>
      </w:r>
      <w:r w:rsidR="00AC2F89" w:rsidRPr="00AC2F89">
        <w:rPr>
          <w:rFonts w:ascii="Times" w:hAnsi="Times" w:cs="Times"/>
          <w:sz w:val="26"/>
          <w:szCs w:val="26"/>
        </w:rPr>
        <w:t>Associação Brasileira de Saúde Mental (Abrasme)</w:t>
      </w:r>
      <w:r w:rsidR="009074FA">
        <w:rPr>
          <w:rFonts w:ascii="Times" w:hAnsi="Times" w:cs="Times"/>
          <w:sz w:val="26"/>
          <w:szCs w:val="26"/>
        </w:rPr>
        <w:t xml:space="preserve">, que duramente criticou </w:t>
      </w:r>
      <w:r w:rsidR="00594C2E">
        <w:rPr>
          <w:rFonts w:ascii="Times" w:hAnsi="Times" w:cs="Times"/>
          <w:sz w:val="26"/>
          <w:szCs w:val="26"/>
        </w:rPr>
        <w:t xml:space="preserve">a revogação das portarias de saúde mental do SUS, adverte-se que </w:t>
      </w:r>
      <w:r w:rsidR="009074FA">
        <w:rPr>
          <w:rFonts w:ascii="Times" w:hAnsi="Times" w:cs="Times"/>
          <w:sz w:val="26"/>
          <w:szCs w:val="26"/>
        </w:rPr>
        <w:t>a redução do financiamento da saúde mental:</w:t>
      </w:r>
    </w:p>
    <w:p w14:paraId="41B3FDD9" w14:textId="15D2BACF" w:rsidR="00594C2E" w:rsidRPr="009074FA" w:rsidRDefault="00594C2E" w:rsidP="009074FA">
      <w:pPr>
        <w:spacing w:line="240" w:lineRule="auto"/>
        <w:ind w:left="2124"/>
        <w:rPr>
          <w:rFonts w:ascii="Times" w:hAnsi="Times" w:cs="Times"/>
          <w:i/>
          <w:iCs/>
        </w:rPr>
      </w:pPr>
      <w:r w:rsidRPr="009074FA">
        <w:rPr>
          <w:rFonts w:ascii="Times" w:hAnsi="Times" w:cs="Times"/>
          <w:i/>
          <w:iCs/>
        </w:rPr>
        <w:t>“Portaria nº 3.659, de 14 de novembro de 2018 que suspendeu o repasse do recurso financeiro destinado ao incentivo de custeio mensal de Centros de Atenção Psicossocial (CAPS), Serviços Residenciais Terapêuticos (SRT), Unidades de Acolhimento (UA) e de Leitos de Saúde Mental em Hospital Geral, integrantes da Rede de Atenção Psicossocial (RAPS</w:t>
      </w:r>
      <w:r w:rsidR="009074FA" w:rsidRPr="009074FA">
        <w:rPr>
          <w:rFonts w:ascii="Times" w:hAnsi="Times" w:cs="Times"/>
          <w:i/>
          <w:iCs/>
        </w:rPr>
        <w:t>)”</w:t>
      </w:r>
      <w:r w:rsidR="009074FA">
        <w:rPr>
          <w:rStyle w:val="Refdenotaderodap"/>
          <w:rFonts w:ascii="Times" w:hAnsi="Times" w:cs="Times"/>
          <w:i/>
          <w:iCs/>
        </w:rPr>
        <w:footnoteReference w:id="23"/>
      </w:r>
      <w:r w:rsidR="009074FA" w:rsidRPr="009074FA">
        <w:rPr>
          <w:rFonts w:ascii="Times" w:hAnsi="Times" w:cs="Times"/>
          <w:i/>
          <w:iCs/>
        </w:rPr>
        <w:t>.</w:t>
      </w:r>
    </w:p>
    <w:p w14:paraId="17B553DB" w14:textId="77777777" w:rsidR="009074FA" w:rsidRDefault="009074FA" w:rsidP="009074FA">
      <w:pPr>
        <w:spacing w:line="360" w:lineRule="auto"/>
        <w:ind w:left="1416"/>
        <w:rPr>
          <w:rFonts w:ascii="Times" w:hAnsi="Times" w:cs="Times"/>
          <w:sz w:val="26"/>
          <w:szCs w:val="26"/>
        </w:rPr>
      </w:pPr>
    </w:p>
    <w:p w14:paraId="1546019C" w14:textId="53813960" w:rsidR="006D2B15" w:rsidRDefault="001F1306" w:rsidP="009D213D">
      <w:pPr>
        <w:spacing w:line="360" w:lineRule="auto"/>
        <w:rPr>
          <w:rFonts w:ascii="Times" w:hAnsi="Times" w:cs="Times"/>
          <w:sz w:val="26"/>
          <w:szCs w:val="26"/>
        </w:rPr>
      </w:pPr>
      <w:r>
        <w:rPr>
          <w:rFonts w:ascii="Times" w:hAnsi="Times" w:cs="Times"/>
          <w:sz w:val="26"/>
          <w:szCs w:val="26"/>
        </w:rPr>
        <w:tab/>
        <w:t xml:space="preserve">A alegação de que a internação seria um caminho não se mostra demonstrada. </w:t>
      </w:r>
      <w:r w:rsidR="00594C2E">
        <w:rPr>
          <w:rFonts w:ascii="Times" w:hAnsi="Times" w:cs="Times"/>
          <w:sz w:val="26"/>
          <w:szCs w:val="26"/>
        </w:rPr>
        <w:t>“</w:t>
      </w:r>
      <w:r w:rsidR="00594C2E" w:rsidRPr="00594C2E">
        <w:rPr>
          <w:rFonts w:ascii="Times" w:hAnsi="Times" w:cs="Times"/>
          <w:sz w:val="26"/>
          <w:szCs w:val="26"/>
        </w:rPr>
        <w:t>A OMS afirma que o suicídio representa um sério problema de saúde, mas que pode ser resolvido com tempo e intervenções de baixo custo</w:t>
      </w:r>
      <w:r w:rsidR="00594C2E">
        <w:rPr>
          <w:rFonts w:ascii="Times" w:hAnsi="Times" w:cs="Times"/>
          <w:sz w:val="26"/>
          <w:szCs w:val="26"/>
        </w:rPr>
        <w:t>”</w:t>
      </w:r>
      <w:r w:rsidR="00376A69">
        <w:rPr>
          <w:rStyle w:val="Refdenotaderodap"/>
          <w:rFonts w:ascii="Times" w:hAnsi="Times" w:cs="Times"/>
          <w:sz w:val="26"/>
          <w:szCs w:val="26"/>
        </w:rPr>
        <w:footnoteReference w:id="24"/>
      </w:r>
      <w:r w:rsidR="00594C2E" w:rsidRPr="00594C2E">
        <w:rPr>
          <w:rFonts w:ascii="Times" w:hAnsi="Times" w:cs="Times"/>
          <w:sz w:val="26"/>
          <w:szCs w:val="26"/>
        </w:rPr>
        <w:t>.</w:t>
      </w:r>
      <w:r w:rsidR="00594C2E">
        <w:rPr>
          <w:rFonts w:ascii="Times" w:hAnsi="Times" w:cs="Times"/>
          <w:sz w:val="26"/>
          <w:szCs w:val="26"/>
        </w:rPr>
        <w:t xml:space="preserve"> </w:t>
      </w:r>
      <w:r>
        <w:rPr>
          <w:rFonts w:ascii="Times" w:hAnsi="Times" w:cs="Times"/>
          <w:sz w:val="26"/>
          <w:szCs w:val="26"/>
        </w:rPr>
        <w:t>Outrossim, f</w:t>
      </w:r>
      <w:r w:rsidR="009D213D" w:rsidRPr="002461E2">
        <w:rPr>
          <w:rFonts w:ascii="Times" w:hAnsi="Times" w:cs="Times"/>
          <w:sz w:val="26"/>
          <w:szCs w:val="26"/>
        </w:rPr>
        <w:t>atores como pobreza, violência doméstica</w:t>
      </w:r>
      <w:r w:rsidR="00326D10">
        <w:rPr>
          <w:rFonts w:ascii="Times" w:hAnsi="Times" w:cs="Times"/>
          <w:sz w:val="26"/>
          <w:szCs w:val="26"/>
        </w:rPr>
        <w:t>,</w:t>
      </w:r>
      <w:r w:rsidR="006D2B15">
        <w:rPr>
          <w:rStyle w:val="Refdenotaderodap"/>
          <w:rFonts w:ascii="Times" w:hAnsi="Times" w:cs="Times"/>
          <w:sz w:val="26"/>
          <w:szCs w:val="26"/>
        </w:rPr>
        <w:footnoteReference w:id="25"/>
      </w:r>
      <w:r w:rsidR="009D213D" w:rsidRPr="002461E2">
        <w:rPr>
          <w:rFonts w:ascii="Times" w:hAnsi="Times" w:cs="Times"/>
          <w:sz w:val="26"/>
          <w:szCs w:val="26"/>
        </w:rPr>
        <w:t xml:space="preserve"> </w:t>
      </w:r>
      <w:r w:rsidR="00326D10">
        <w:rPr>
          <w:rFonts w:ascii="Times" w:hAnsi="Times" w:cs="Times"/>
          <w:sz w:val="26"/>
          <w:szCs w:val="26"/>
        </w:rPr>
        <w:t>suspensão de pesticidas</w:t>
      </w:r>
      <w:r w:rsidR="00326D10">
        <w:rPr>
          <w:rStyle w:val="Refdenotaderodap"/>
          <w:rFonts w:ascii="Times" w:hAnsi="Times" w:cs="Times"/>
          <w:sz w:val="26"/>
          <w:szCs w:val="26"/>
        </w:rPr>
        <w:footnoteReference w:id="26"/>
      </w:r>
      <w:r w:rsidR="00326D10">
        <w:rPr>
          <w:rFonts w:ascii="Times" w:hAnsi="Times" w:cs="Times"/>
          <w:sz w:val="26"/>
          <w:szCs w:val="26"/>
        </w:rPr>
        <w:t xml:space="preserve"> </w:t>
      </w:r>
      <w:r w:rsidR="009D213D" w:rsidRPr="002461E2">
        <w:rPr>
          <w:rFonts w:ascii="Times" w:hAnsi="Times" w:cs="Times"/>
          <w:sz w:val="26"/>
          <w:szCs w:val="26"/>
        </w:rPr>
        <w:t xml:space="preserve">e falta de acesso são apontados pelos estudiosos do tema, e não </w:t>
      </w:r>
      <w:r w:rsidR="006D2B15">
        <w:rPr>
          <w:rFonts w:ascii="Times" w:hAnsi="Times" w:cs="Times"/>
          <w:sz w:val="26"/>
          <w:szCs w:val="26"/>
        </w:rPr>
        <w:t>foram devidamente examinados nas mudanças propostas</w:t>
      </w:r>
      <w:r w:rsidR="009D213D" w:rsidRPr="002461E2">
        <w:rPr>
          <w:rFonts w:ascii="Times" w:hAnsi="Times" w:cs="Times"/>
          <w:sz w:val="26"/>
          <w:szCs w:val="26"/>
        </w:rPr>
        <w:t xml:space="preserve">. </w:t>
      </w:r>
    </w:p>
    <w:p w14:paraId="5A080BEC" w14:textId="3F6AAD30" w:rsidR="00931196" w:rsidRPr="002461E2" w:rsidRDefault="006D2B15" w:rsidP="006D2B15">
      <w:pPr>
        <w:spacing w:line="360" w:lineRule="auto"/>
        <w:ind w:firstLine="708"/>
        <w:rPr>
          <w:rFonts w:ascii="Times" w:hAnsi="Times" w:cs="Times"/>
          <w:sz w:val="26"/>
          <w:szCs w:val="26"/>
        </w:rPr>
      </w:pPr>
      <w:r>
        <w:rPr>
          <w:rFonts w:ascii="Times" w:hAnsi="Times" w:cs="Times"/>
          <w:sz w:val="26"/>
          <w:szCs w:val="26"/>
        </w:rPr>
        <w:t>A</w:t>
      </w:r>
      <w:r w:rsidR="009D213D" w:rsidRPr="002461E2">
        <w:rPr>
          <w:rFonts w:ascii="Times" w:hAnsi="Times" w:cs="Times"/>
          <w:sz w:val="26"/>
          <w:szCs w:val="26"/>
        </w:rPr>
        <w:t xml:space="preserve"> revogação que se sugere não se explica o que outros países fazem, quais as recomendações internacionais, quais as taxas de sucesso. Nem se detalhou o modelo proposto, nem sua justificativa técnica, o que contraria, além das normas orçamentárias, o princípio da transparência e o teor da Lei n. 8</w:t>
      </w:r>
      <w:r w:rsidR="00326D10">
        <w:rPr>
          <w:rFonts w:ascii="Times" w:hAnsi="Times" w:cs="Times"/>
          <w:sz w:val="26"/>
          <w:szCs w:val="26"/>
        </w:rPr>
        <w:t>.</w:t>
      </w:r>
      <w:r w:rsidR="009D213D" w:rsidRPr="002461E2">
        <w:rPr>
          <w:rFonts w:ascii="Times" w:hAnsi="Times" w:cs="Times"/>
          <w:sz w:val="26"/>
          <w:szCs w:val="26"/>
        </w:rPr>
        <w:t>080/</w:t>
      </w:r>
      <w:r w:rsidR="00326D10">
        <w:rPr>
          <w:rFonts w:ascii="Times" w:hAnsi="Times" w:cs="Times"/>
          <w:sz w:val="26"/>
          <w:szCs w:val="26"/>
        </w:rPr>
        <w:t>1990</w:t>
      </w:r>
      <w:r w:rsidR="009D213D" w:rsidRPr="002461E2">
        <w:rPr>
          <w:rFonts w:ascii="Times" w:hAnsi="Times" w:cs="Times"/>
          <w:sz w:val="26"/>
          <w:szCs w:val="26"/>
        </w:rPr>
        <w:t>, art. 19-</w:t>
      </w:r>
      <w:r w:rsidR="00FF3D3A" w:rsidRPr="002461E2">
        <w:rPr>
          <w:rFonts w:ascii="Times" w:hAnsi="Times" w:cs="Times"/>
          <w:sz w:val="26"/>
          <w:szCs w:val="26"/>
        </w:rPr>
        <w:t xml:space="preserve">Q, a qual define como impositivo “as evidências científicas sobre a eficácia, a acurácia, a efetividade e a segurança”, como balizas legais na incorporação ou modificação de protocolos na saúde. </w:t>
      </w:r>
    </w:p>
    <w:p w14:paraId="1BEF3F61" w14:textId="2FBDC02A" w:rsidR="00FF3D3A" w:rsidRPr="002461E2" w:rsidRDefault="00FF3D3A" w:rsidP="00931196">
      <w:pPr>
        <w:spacing w:line="360" w:lineRule="auto"/>
        <w:ind w:firstLine="708"/>
        <w:rPr>
          <w:rFonts w:ascii="Times" w:hAnsi="Times" w:cs="Times"/>
          <w:sz w:val="26"/>
          <w:szCs w:val="26"/>
        </w:rPr>
      </w:pPr>
      <w:r w:rsidRPr="002461E2">
        <w:rPr>
          <w:rFonts w:ascii="Times" w:hAnsi="Times" w:cs="Times"/>
          <w:sz w:val="26"/>
          <w:szCs w:val="26"/>
        </w:rPr>
        <w:t>As decisões em saúde devem ser tomadas à “luz do conhecimento científico acumulado”</w:t>
      </w:r>
      <w:r w:rsidRPr="002461E2">
        <w:rPr>
          <w:rStyle w:val="Refdenotaderodap"/>
          <w:rFonts w:ascii="Times" w:hAnsi="Times" w:cs="Times"/>
          <w:sz w:val="26"/>
          <w:szCs w:val="26"/>
        </w:rPr>
        <w:footnoteReference w:id="27"/>
      </w:r>
      <w:r w:rsidRPr="002461E2">
        <w:rPr>
          <w:rFonts w:ascii="Times" w:hAnsi="Times" w:cs="Times"/>
          <w:sz w:val="26"/>
          <w:szCs w:val="26"/>
        </w:rPr>
        <w:t>, como já consagrou o Supremo Tribunal Federal.</w:t>
      </w:r>
      <w:r w:rsidR="00931196" w:rsidRPr="002461E2">
        <w:rPr>
          <w:rFonts w:ascii="Times" w:hAnsi="Times" w:cs="Times"/>
          <w:sz w:val="26"/>
          <w:szCs w:val="26"/>
        </w:rPr>
        <w:t xml:space="preserve"> A Corte também já decidiu:</w:t>
      </w:r>
    </w:p>
    <w:p w14:paraId="3DAC605E" w14:textId="7C3E102A" w:rsidR="00F83095" w:rsidRPr="002461E2" w:rsidRDefault="00931196" w:rsidP="00931196">
      <w:pPr>
        <w:spacing w:line="240" w:lineRule="auto"/>
        <w:ind w:left="2124"/>
        <w:rPr>
          <w:rFonts w:ascii="Times" w:hAnsi="Times" w:cs="Times"/>
          <w:sz w:val="26"/>
          <w:szCs w:val="26"/>
        </w:rPr>
      </w:pPr>
      <w:r w:rsidRPr="002461E2">
        <w:rPr>
          <w:rFonts w:ascii="Times" w:hAnsi="Times" w:cs="Times"/>
          <w:i/>
          <w:iCs/>
          <w:sz w:val="26"/>
          <w:szCs w:val="26"/>
        </w:rPr>
        <w:t>“</w:t>
      </w:r>
      <w:r w:rsidR="00F83095" w:rsidRPr="002461E2">
        <w:rPr>
          <w:rFonts w:ascii="Times" w:hAnsi="Times" w:cs="Times"/>
          <w:i/>
          <w:iCs/>
          <w:sz w:val="26"/>
          <w:szCs w:val="26"/>
        </w:rPr>
        <w:t>não me parece admissível que hoje o Estado, sobretudo num campo tão sensível como é o campo</w:t>
      </w:r>
      <w:r w:rsidRPr="002461E2">
        <w:rPr>
          <w:rFonts w:ascii="Times" w:hAnsi="Times" w:cs="Times"/>
          <w:i/>
          <w:iCs/>
          <w:sz w:val="26"/>
          <w:szCs w:val="26"/>
        </w:rPr>
        <w:t xml:space="preserve"> </w:t>
      </w:r>
      <w:r w:rsidR="00F83095" w:rsidRPr="002461E2">
        <w:rPr>
          <w:rFonts w:ascii="Times" w:hAnsi="Times" w:cs="Times"/>
          <w:i/>
          <w:iCs/>
          <w:sz w:val="26"/>
          <w:szCs w:val="26"/>
        </w:rPr>
        <w:t xml:space="preserve">da saúde, que diz respeito à vida, e à própria dignidade da pessoa humana, possa agir irracionalmente, </w:t>
      </w:r>
      <w:r w:rsidR="00F83095" w:rsidRPr="002461E2">
        <w:rPr>
          <w:rFonts w:ascii="Times" w:hAnsi="Times" w:cs="Times"/>
          <w:i/>
          <w:iCs/>
          <w:sz w:val="26"/>
          <w:szCs w:val="26"/>
        </w:rPr>
        <w:lastRenderedPageBreak/>
        <w:t>levando em conta razões de ordem metafísica, ou fundado em suposições, enfim, que não tenham base em evidências científica</w:t>
      </w:r>
      <w:r w:rsidRPr="002461E2">
        <w:rPr>
          <w:rFonts w:ascii="Times" w:hAnsi="Times" w:cs="Times"/>
          <w:sz w:val="26"/>
          <w:szCs w:val="26"/>
        </w:rPr>
        <w:t>”</w:t>
      </w:r>
      <w:r w:rsidRPr="002461E2">
        <w:rPr>
          <w:rStyle w:val="Refdenotaderodap"/>
          <w:rFonts w:ascii="Times" w:hAnsi="Times" w:cs="Times"/>
          <w:sz w:val="26"/>
          <w:szCs w:val="26"/>
        </w:rPr>
        <w:footnoteReference w:id="28"/>
      </w:r>
      <w:r w:rsidR="00F83095" w:rsidRPr="002461E2">
        <w:rPr>
          <w:rFonts w:ascii="Times" w:hAnsi="Times" w:cs="Times"/>
          <w:sz w:val="26"/>
          <w:szCs w:val="26"/>
        </w:rPr>
        <w:t>.</w:t>
      </w:r>
    </w:p>
    <w:p w14:paraId="4B84F3CC" w14:textId="31B62D5D" w:rsidR="00F83095" w:rsidRPr="002461E2" w:rsidRDefault="00F83095" w:rsidP="009D213D">
      <w:pPr>
        <w:spacing w:line="360" w:lineRule="auto"/>
        <w:rPr>
          <w:rFonts w:ascii="Times" w:hAnsi="Times" w:cs="Times"/>
          <w:sz w:val="26"/>
          <w:szCs w:val="26"/>
        </w:rPr>
      </w:pPr>
    </w:p>
    <w:p w14:paraId="34F7154A" w14:textId="34EB208E" w:rsidR="00321532" w:rsidRPr="002461E2" w:rsidRDefault="00321532" w:rsidP="009D213D">
      <w:pPr>
        <w:spacing w:line="360" w:lineRule="auto"/>
        <w:rPr>
          <w:rFonts w:ascii="Times" w:hAnsi="Times" w:cs="Times"/>
          <w:sz w:val="26"/>
          <w:szCs w:val="26"/>
        </w:rPr>
      </w:pPr>
      <w:r w:rsidRPr="002461E2">
        <w:rPr>
          <w:rFonts w:ascii="Times" w:hAnsi="Times" w:cs="Times"/>
          <w:sz w:val="26"/>
          <w:szCs w:val="26"/>
        </w:rPr>
        <w:tab/>
        <w:t>Critérios científicos e técnicos devem pautar as medidas, inclusive para evitar internações desnecessárias, as quais, contudo, são frequentes</w:t>
      </w:r>
      <w:r w:rsidR="005F0AF9" w:rsidRPr="002461E2">
        <w:rPr>
          <w:rFonts w:ascii="Times" w:hAnsi="Times" w:cs="Times"/>
          <w:sz w:val="26"/>
          <w:szCs w:val="26"/>
          <w:vertAlign w:val="superscript"/>
          <w:lang w:eastAsia="en-US"/>
        </w:rPr>
        <w:footnoteReference w:id="29"/>
      </w:r>
    </w:p>
    <w:p w14:paraId="6D0B11CC" w14:textId="6EC7CFA8" w:rsidR="0021456F" w:rsidRPr="002461E2" w:rsidRDefault="00621157" w:rsidP="008C5400">
      <w:pPr>
        <w:spacing w:line="360" w:lineRule="auto"/>
        <w:rPr>
          <w:rFonts w:ascii="Times" w:hAnsi="Times" w:cs="Times"/>
          <w:sz w:val="26"/>
          <w:szCs w:val="26"/>
        </w:rPr>
      </w:pPr>
      <w:r w:rsidRPr="002461E2">
        <w:rPr>
          <w:rFonts w:ascii="Times" w:hAnsi="Times" w:cs="Times"/>
          <w:sz w:val="26"/>
          <w:szCs w:val="26"/>
        </w:rPr>
        <w:tab/>
        <w:t>Portanto, a revogação das portarias n</w:t>
      </w:r>
      <w:r w:rsidR="00FF3D3A" w:rsidRPr="002461E2">
        <w:rPr>
          <w:rFonts w:ascii="Times" w:hAnsi="Times" w:cs="Times"/>
          <w:sz w:val="26"/>
          <w:szCs w:val="26"/>
        </w:rPr>
        <w:t>ão se harmoniza a legislação vigente. Trata-se de</w:t>
      </w:r>
      <w:r w:rsidRPr="002461E2">
        <w:rPr>
          <w:rFonts w:ascii="Times" w:hAnsi="Times" w:cs="Times"/>
          <w:sz w:val="26"/>
          <w:szCs w:val="26"/>
        </w:rPr>
        <w:t xml:space="preserve"> medida que possa ser implementada por uma votação de comissões que não possuem poder para revogar a legislação federal, muito menos o texto constitucional. Esse é um ponto central desta nota. </w:t>
      </w:r>
      <w:r w:rsidR="0021456F" w:rsidRPr="002461E2">
        <w:rPr>
          <w:rFonts w:ascii="Times" w:hAnsi="Times" w:cs="Times"/>
          <w:sz w:val="26"/>
          <w:szCs w:val="26"/>
        </w:rPr>
        <w:tab/>
        <w:t>Em atenção ao caráter constitucional da legislação de saúde mental, a tentativa de revogação de portarias para limitação de direitos na saúde mental esbarra no texto constitucional</w:t>
      </w:r>
      <w:r w:rsidRPr="002461E2">
        <w:rPr>
          <w:rFonts w:ascii="Times" w:hAnsi="Times" w:cs="Times"/>
          <w:sz w:val="26"/>
          <w:szCs w:val="26"/>
        </w:rPr>
        <w:t xml:space="preserve">. Sobre </w:t>
      </w:r>
      <w:r w:rsidR="007D34F0" w:rsidRPr="002461E2">
        <w:rPr>
          <w:rFonts w:ascii="Times" w:hAnsi="Times" w:cs="Times"/>
          <w:sz w:val="26"/>
          <w:szCs w:val="26"/>
        </w:rPr>
        <w:t>a inconstitucionalidade de eventual revogação das portarias que protegem os usuários da saúde mental</w:t>
      </w:r>
      <w:r w:rsidR="008C5400" w:rsidRPr="002461E2">
        <w:rPr>
          <w:rFonts w:ascii="Times" w:hAnsi="Times" w:cs="Times"/>
          <w:sz w:val="26"/>
          <w:szCs w:val="26"/>
        </w:rPr>
        <w:t>, já havia</w:t>
      </w:r>
      <w:r w:rsidR="007D34F0" w:rsidRPr="002461E2">
        <w:rPr>
          <w:rFonts w:ascii="Times" w:hAnsi="Times" w:cs="Times"/>
          <w:sz w:val="26"/>
          <w:szCs w:val="26"/>
        </w:rPr>
        <w:t xml:space="preserve"> alertado Schulman</w:t>
      </w:r>
      <w:r w:rsidR="008C5400" w:rsidRPr="002461E2">
        <w:rPr>
          <w:rFonts w:ascii="Times" w:hAnsi="Times" w:cs="Times"/>
          <w:sz w:val="26"/>
          <w:szCs w:val="26"/>
        </w:rPr>
        <w:t xml:space="preserve"> sobre a inconstitucionalidade:</w:t>
      </w:r>
      <w:r w:rsidR="007D34F0" w:rsidRPr="002461E2">
        <w:rPr>
          <w:rFonts w:ascii="Times" w:hAnsi="Times" w:cs="Times"/>
          <w:sz w:val="26"/>
          <w:szCs w:val="26"/>
        </w:rPr>
        <w:t xml:space="preserve"> </w:t>
      </w:r>
    </w:p>
    <w:p w14:paraId="30AAE83A" w14:textId="31EA046E" w:rsidR="0021456F" w:rsidRPr="002461E2" w:rsidRDefault="0021456F" w:rsidP="008C5400">
      <w:pPr>
        <w:spacing w:line="240" w:lineRule="auto"/>
        <w:ind w:left="2124"/>
        <w:rPr>
          <w:rFonts w:ascii="Times" w:hAnsi="Times" w:cs="Times"/>
          <w:b/>
          <w:bCs/>
          <w:i/>
          <w:iCs/>
          <w:sz w:val="26"/>
          <w:szCs w:val="26"/>
        </w:rPr>
      </w:pPr>
      <w:r w:rsidRPr="002461E2">
        <w:rPr>
          <w:rFonts w:ascii="Times" w:hAnsi="Times" w:cs="Times"/>
          <w:i/>
          <w:iCs/>
          <w:sz w:val="26"/>
          <w:szCs w:val="26"/>
        </w:rPr>
        <w:t xml:space="preserve">“as Portarias de Consolidação n. 1/2017 a n. 06/2017 do Ministério da Saúde, as quais, ao mesmo tempo indicam a finalidade de promover uma consolidação e revogam expressamente diversas portarias que tratavam de saúde mental. </w:t>
      </w:r>
      <w:r w:rsidRPr="002461E2">
        <w:rPr>
          <w:rFonts w:ascii="Times" w:hAnsi="Times" w:cs="Times"/>
          <w:b/>
          <w:bCs/>
          <w:i/>
          <w:iCs/>
          <w:sz w:val="26"/>
          <w:szCs w:val="26"/>
        </w:rPr>
        <w:t>Não é demais sublinhar que é inconstitucional a norma que pretenda a redução de direitos e de formas de proteção de usuários da saúde mental</w:t>
      </w:r>
      <w:r w:rsidR="007D34F0" w:rsidRPr="002461E2">
        <w:rPr>
          <w:rFonts w:ascii="Times" w:hAnsi="Times" w:cs="Times"/>
          <w:b/>
          <w:bCs/>
          <w:i/>
          <w:iCs/>
          <w:sz w:val="26"/>
          <w:szCs w:val="26"/>
        </w:rPr>
        <w:t>”</w:t>
      </w:r>
      <w:r w:rsidR="007D3B43" w:rsidRPr="002461E2">
        <w:rPr>
          <w:rStyle w:val="Refdenotaderodap"/>
          <w:rFonts w:ascii="Times" w:hAnsi="Times" w:cs="Times"/>
          <w:b/>
          <w:bCs/>
          <w:sz w:val="26"/>
          <w:szCs w:val="26"/>
        </w:rPr>
        <w:footnoteReference w:id="30"/>
      </w:r>
      <w:r w:rsidRPr="002461E2">
        <w:rPr>
          <w:rFonts w:ascii="Times" w:hAnsi="Times" w:cs="Times"/>
          <w:b/>
          <w:bCs/>
          <w:i/>
          <w:iCs/>
          <w:sz w:val="26"/>
          <w:szCs w:val="26"/>
        </w:rPr>
        <w:t>.</w:t>
      </w:r>
    </w:p>
    <w:p w14:paraId="662D1BF8" w14:textId="784A0A53" w:rsidR="0021456F" w:rsidRPr="002461E2" w:rsidRDefault="0021456F" w:rsidP="008C5400">
      <w:pPr>
        <w:spacing w:line="360" w:lineRule="auto"/>
        <w:rPr>
          <w:rFonts w:ascii="Times" w:hAnsi="Times" w:cs="Times"/>
          <w:sz w:val="26"/>
          <w:szCs w:val="26"/>
        </w:rPr>
      </w:pPr>
    </w:p>
    <w:p w14:paraId="57F190A0" w14:textId="7E3E6E78" w:rsidR="009E7146" w:rsidRPr="002461E2" w:rsidRDefault="009E7146" w:rsidP="008C5400">
      <w:pPr>
        <w:spacing w:line="360" w:lineRule="auto"/>
        <w:rPr>
          <w:rFonts w:ascii="Times" w:hAnsi="Times" w:cs="Times"/>
          <w:b/>
          <w:bCs/>
          <w:sz w:val="26"/>
          <w:szCs w:val="26"/>
        </w:rPr>
      </w:pPr>
      <w:r w:rsidRPr="002461E2">
        <w:rPr>
          <w:rFonts w:ascii="Times" w:hAnsi="Times" w:cs="Times"/>
          <w:b/>
          <w:bCs/>
          <w:sz w:val="26"/>
          <w:szCs w:val="26"/>
        </w:rPr>
        <w:t>Considerações finais</w:t>
      </w:r>
    </w:p>
    <w:p w14:paraId="3C20FF22" w14:textId="6A45FCCA" w:rsidR="009E7146" w:rsidRPr="002461E2" w:rsidRDefault="009E7146" w:rsidP="00FF193A">
      <w:pPr>
        <w:spacing w:before="120" w:line="360" w:lineRule="auto"/>
        <w:ind w:left="708" w:firstLine="57"/>
        <w:rPr>
          <w:rFonts w:ascii="Times" w:hAnsi="Times" w:cs="Times"/>
          <w:sz w:val="26"/>
          <w:szCs w:val="26"/>
        </w:rPr>
      </w:pPr>
      <w:r w:rsidRPr="002461E2">
        <w:rPr>
          <w:rFonts w:ascii="Times" w:hAnsi="Times" w:cs="Times"/>
          <w:sz w:val="26"/>
          <w:szCs w:val="26"/>
        </w:rPr>
        <w:t xml:space="preserve">- </w:t>
      </w:r>
      <w:r w:rsidR="008C5400" w:rsidRPr="002461E2">
        <w:rPr>
          <w:rFonts w:ascii="Times" w:hAnsi="Times" w:cs="Times"/>
          <w:sz w:val="26"/>
          <w:szCs w:val="26"/>
        </w:rPr>
        <w:t>O contexto d</w:t>
      </w:r>
      <w:r w:rsidRPr="002461E2">
        <w:rPr>
          <w:rFonts w:ascii="Times" w:hAnsi="Times" w:cs="Times"/>
          <w:sz w:val="26"/>
          <w:szCs w:val="26"/>
        </w:rPr>
        <w:t>e pandemia, e mesmo a situação anterior, demandam a ampliação dos programas de saúde mental e não sua extinção abrupta;</w:t>
      </w:r>
    </w:p>
    <w:p w14:paraId="51AFE78C" w14:textId="33C14140" w:rsidR="009E7146" w:rsidRPr="002461E2" w:rsidRDefault="009E7146" w:rsidP="00FF193A">
      <w:pPr>
        <w:spacing w:before="120" w:line="360" w:lineRule="auto"/>
        <w:ind w:left="705"/>
        <w:rPr>
          <w:rFonts w:ascii="Times" w:hAnsi="Times" w:cs="Times"/>
          <w:sz w:val="26"/>
          <w:szCs w:val="26"/>
        </w:rPr>
      </w:pPr>
      <w:r w:rsidRPr="002461E2">
        <w:rPr>
          <w:rFonts w:ascii="Times" w:hAnsi="Times" w:cs="Times"/>
          <w:sz w:val="26"/>
          <w:szCs w:val="26"/>
        </w:rPr>
        <w:lastRenderedPageBreak/>
        <w:t xml:space="preserve">- </w:t>
      </w:r>
      <w:r w:rsidR="00681A13" w:rsidRPr="002461E2">
        <w:rPr>
          <w:rFonts w:ascii="Times" w:hAnsi="Times" w:cs="Times"/>
          <w:sz w:val="26"/>
          <w:szCs w:val="26"/>
        </w:rPr>
        <w:t xml:space="preserve">A quantidade de vozes que se uniram para </w:t>
      </w:r>
      <w:r w:rsidR="00321532" w:rsidRPr="002461E2">
        <w:rPr>
          <w:rFonts w:ascii="Times" w:hAnsi="Times" w:cs="Times"/>
          <w:sz w:val="26"/>
          <w:szCs w:val="26"/>
        </w:rPr>
        <w:t>se opor</w:t>
      </w:r>
      <w:r w:rsidR="00681A13" w:rsidRPr="002461E2">
        <w:rPr>
          <w:rFonts w:ascii="Times" w:hAnsi="Times" w:cs="Times"/>
          <w:sz w:val="26"/>
          <w:szCs w:val="26"/>
        </w:rPr>
        <w:t xml:space="preserve"> a medida</w:t>
      </w:r>
      <w:r w:rsidR="003E47EE" w:rsidRPr="002461E2">
        <w:rPr>
          <w:rFonts w:ascii="Times" w:hAnsi="Times" w:cs="Times"/>
          <w:sz w:val="26"/>
          <w:szCs w:val="26"/>
        </w:rPr>
        <w:t xml:space="preserve"> de revogação</w:t>
      </w:r>
      <w:r w:rsidR="008C5400" w:rsidRPr="002461E2">
        <w:rPr>
          <w:rFonts w:ascii="Times" w:hAnsi="Times" w:cs="Times"/>
          <w:sz w:val="26"/>
          <w:szCs w:val="26"/>
        </w:rPr>
        <w:t xml:space="preserve">, seu procedimento e seus efeitos, assim como a falta de clareza sobre a extensão, propósito e efeitos assinala a </w:t>
      </w:r>
      <w:r w:rsidR="00681A13" w:rsidRPr="002461E2">
        <w:rPr>
          <w:rFonts w:ascii="Times" w:hAnsi="Times" w:cs="Times"/>
          <w:sz w:val="26"/>
          <w:szCs w:val="26"/>
        </w:rPr>
        <w:t>necessidade de uma apuração mais detida das propostas de mudança nas políticas de saúde</w:t>
      </w:r>
      <w:r w:rsidR="00FF193A">
        <w:rPr>
          <w:rFonts w:ascii="Times" w:hAnsi="Times" w:cs="Times"/>
          <w:sz w:val="26"/>
          <w:szCs w:val="26"/>
        </w:rPr>
        <w:t xml:space="preserve"> mental</w:t>
      </w:r>
      <w:r w:rsidR="00681A13" w:rsidRPr="002461E2">
        <w:rPr>
          <w:rFonts w:ascii="Times" w:hAnsi="Times" w:cs="Times"/>
          <w:sz w:val="26"/>
          <w:szCs w:val="26"/>
        </w:rPr>
        <w:t>;</w:t>
      </w:r>
    </w:p>
    <w:p w14:paraId="09D5B512" w14:textId="567B58BF" w:rsidR="009D213D" w:rsidRPr="002461E2" w:rsidRDefault="00681A13" w:rsidP="00FF193A">
      <w:pPr>
        <w:spacing w:before="120" w:line="360" w:lineRule="auto"/>
        <w:ind w:left="705"/>
        <w:rPr>
          <w:rFonts w:ascii="Times" w:hAnsi="Times" w:cs="Times"/>
          <w:sz w:val="26"/>
          <w:szCs w:val="26"/>
          <w:lang w:eastAsia="en-US"/>
        </w:rPr>
      </w:pPr>
      <w:r w:rsidRPr="002461E2">
        <w:rPr>
          <w:rFonts w:ascii="Times" w:hAnsi="Times" w:cs="Times"/>
          <w:sz w:val="26"/>
          <w:szCs w:val="26"/>
        </w:rPr>
        <w:t xml:space="preserve">- </w:t>
      </w:r>
      <w:r w:rsidR="008C5400" w:rsidRPr="002461E2">
        <w:rPr>
          <w:rFonts w:ascii="Times" w:hAnsi="Times" w:cs="Times"/>
          <w:sz w:val="26"/>
          <w:szCs w:val="26"/>
        </w:rPr>
        <w:t>As</w:t>
      </w:r>
      <w:r w:rsidRPr="002461E2">
        <w:rPr>
          <w:rFonts w:ascii="Times" w:hAnsi="Times" w:cs="Times"/>
          <w:sz w:val="26"/>
          <w:szCs w:val="26"/>
        </w:rPr>
        <w:t xml:space="preserve"> políticas públicas de saúde mental subordinam-se </w:t>
      </w:r>
      <w:r w:rsidR="008C5400" w:rsidRPr="002461E2">
        <w:rPr>
          <w:rFonts w:ascii="Times" w:hAnsi="Times" w:cs="Times"/>
          <w:sz w:val="26"/>
          <w:szCs w:val="26"/>
        </w:rPr>
        <w:t xml:space="preserve">à Constituição Federal, a Convenção Internacional sobre os Direitos das Pessoas com Deficiência, a </w:t>
      </w:r>
      <w:r w:rsidR="005F0AF9" w:rsidRPr="002461E2">
        <w:rPr>
          <w:rFonts w:ascii="Times" w:hAnsi="Times" w:cs="Times"/>
          <w:sz w:val="26"/>
          <w:szCs w:val="26"/>
        </w:rPr>
        <w:t>Convenção</w:t>
      </w:r>
      <w:r w:rsidR="003E47EE" w:rsidRPr="002461E2">
        <w:rPr>
          <w:rFonts w:ascii="Times" w:hAnsi="Times" w:cs="Times"/>
          <w:sz w:val="26"/>
          <w:szCs w:val="26"/>
        </w:rPr>
        <w:t xml:space="preserve"> Americana de Direitos Humanos (Pacto de São José da Costa Rica),</w:t>
      </w:r>
      <w:r w:rsidR="008C5400" w:rsidRPr="002461E2">
        <w:rPr>
          <w:rFonts w:ascii="Times" w:hAnsi="Times" w:cs="Times"/>
          <w:sz w:val="26"/>
          <w:szCs w:val="26"/>
        </w:rPr>
        <w:t xml:space="preserve"> bem como </w:t>
      </w:r>
      <w:r w:rsidR="003E47EE" w:rsidRPr="002461E2">
        <w:rPr>
          <w:rFonts w:ascii="Times" w:hAnsi="Times" w:cs="Times"/>
          <w:sz w:val="26"/>
          <w:szCs w:val="26"/>
        </w:rPr>
        <w:t>diversas leis federais, inclusive a</w:t>
      </w:r>
      <w:r w:rsidR="008C5400" w:rsidRPr="002461E2">
        <w:rPr>
          <w:rFonts w:ascii="Times" w:hAnsi="Times" w:cs="Times"/>
          <w:sz w:val="26"/>
          <w:szCs w:val="26"/>
        </w:rPr>
        <w:t xml:space="preserve"> </w:t>
      </w:r>
      <w:r w:rsidR="00066A7B" w:rsidRPr="002461E2">
        <w:rPr>
          <w:rFonts w:ascii="Times" w:hAnsi="Times" w:cs="Times"/>
          <w:sz w:val="26"/>
          <w:szCs w:val="26"/>
          <w:lang w:eastAsia="en-US"/>
        </w:rPr>
        <w:t>Lei n. 11.343/2006 e</w:t>
      </w:r>
      <w:r w:rsidR="008C5400" w:rsidRPr="002461E2">
        <w:rPr>
          <w:rFonts w:ascii="Times" w:hAnsi="Times" w:cs="Times"/>
          <w:sz w:val="26"/>
          <w:szCs w:val="26"/>
          <w:lang w:eastAsia="en-US"/>
        </w:rPr>
        <w:t xml:space="preserve"> </w:t>
      </w:r>
      <w:r w:rsidR="003E47EE" w:rsidRPr="002461E2">
        <w:rPr>
          <w:rFonts w:ascii="Times" w:hAnsi="Times" w:cs="Times"/>
          <w:sz w:val="26"/>
          <w:szCs w:val="26"/>
          <w:lang w:eastAsia="en-US"/>
        </w:rPr>
        <w:t xml:space="preserve">a </w:t>
      </w:r>
      <w:r w:rsidR="008C5400" w:rsidRPr="002461E2">
        <w:rPr>
          <w:rFonts w:ascii="Times" w:hAnsi="Times" w:cs="Times"/>
          <w:sz w:val="26"/>
          <w:szCs w:val="26"/>
          <w:lang w:eastAsia="en-US"/>
        </w:rPr>
        <w:t xml:space="preserve">Lei </w:t>
      </w:r>
      <w:r w:rsidR="00E064A6" w:rsidRPr="002461E2">
        <w:rPr>
          <w:rFonts w:ascii="Times" w:hAnsi="Times" w:cs="Times"/>
          <w:sz w:val="26"/>
          <w:szCs w:val="26"/>
        </w:rPr>
        <w:t>n. 10.216/2001</w:t>
      </w:r>
      <w:r w:rsidR="008C5400" w:rsidRPr="002461E2">
        <w:rPr>
          <w:rFonts w:ascii="Times" w:hAnsi="Times" w:cs="Times"/>
          <w:sz w:val="26"/>
          <w:szCs w:val="26"/>
          <w:lang w:eastAsia="en-US"/>
        </w:rPr>
        <w:t>. A revogação</w:t>
      </w:r>
      <w:r w:rsidR="003E47EE" w:rsidRPr="002461E2">
        <w:rPr>
          <w:rFonts w:ascii="Times" w:hAnsi="Times" w:cs="Times"/>
          <w:sz w:val="26"/>
          <w:szCs w:val="26"/>
          <w:lang w:eastAsia="en-US"/>
        </w:rPr>
        <w:t xml:space="preserve"> de portarias</w:t>
      </w:r>
      <w:r w:rsidR="008C5400" w:rsidRPr="002461E2">
        <w:rPr>
          <w:rFonts w:ascii="Times" w:hAnsi="Times" w:cs="Times"/>
          <w:sz w:val="26"/>
          <w:szCs w:val="26"/>
          <w:lang w:eastAsia="en-US"/>
        </w:rPr>
        <w:t xml:space="preserve"> proposta</w:t>
      </w:r>
      <w:r w:rsidR="003E47EE" w:rsidRPr="002461E2">
        <w:rPr>
          <w:rFonts w:ascii="Times" w:hAnsi="Times" w:cs="Times"/>
          <w:sz w:val="26"/>
          <w:szCs w:val="26"/>
          <w:lang w:eastAsia="en-US"/>
        </w:rPr>
        <w:t xml:space="preserve"> </w:t>
      </w:r>
      <w:r w:rsidR="008C5400" w:rsidRPr="002461E2">
        <w:rPr>
          <w:rFonts w:ascii="Times" w:hAnsi="Times" w:cs="Times"/>
          <w:sz w:val="26"/>
          <w:szCs w:val="26"/>
          <w:lang w:eastAsia="en-US"/>
        </w:rPr>
        <w:t xml:space="preserve">afronta </w:t>
      </w:r>
      <w:r w:rsidR="00C4246C">
        <w:rPr>
          <w:rFonts w:ascii="Times" w:hAnsi="Times" w:cs="Times"/>
          <w:sz w:val="26"/>
          <w:szCs w:val="26"/>
          <w:lang w:eastAsia="en-US"/>
        </w:rPr>
        <w:t>a</w:t>
      </w:r>
      <w:r w:rsidR="008C5400" w:rsidRPr="002461E2">
        <w:rPr>
          <w:rFonts w:ascii="Times" w:hAnsi="Times" w:cs="Times"/>
          <w:sz w:val="26"/>
          <w:szCs w:val="26"/>
          <w:lang w:eastAsia="en-US"/>
        </w:rPr>
        <w:t xml:space="preserve"> legislação</w:t>
      </w:r>
      <w:r w:rsidR="003E47EE" w:rsidRPr="002461E2">
        <w:rPr>
          <w:rFonts w:ascii="Times" w:hAnsi="Times" w:cs="Times"/>
          <w:sz w:val="26"/>
          <w:szCs w:val="26"/>
          <w:lang w:eastAsia="en-US"/>
        </w:rPr>
        <w:t xml:space="preserve"> brasileira</w:t>
      </w:r>
      <w:r w:rsidR="008C5400" w:rsidRPr="002461E2">
        <w:rPr>
          <w:rFonts w:ascii="Times" w:hAnsi="Times" w:cs="Times"/>
          <w:sz w:val="26"/>
          <w:szCs w:val="26"/>
          <w:lang w:eastAsia="en-US"/>
        </w:rPr>
        <w:t>;</w:t>
      </w:r>
    </w:p>
    <w:p w14:paraId="0D850698" w14:textId="4E1F429F" w:rsidR="00AA38F0" w:rsidRPr="002461E2" w:rsidRDefault="003E47EE" w:rsidP="00FF193A">
      <w:pPr>
        <w:spacing w:before="120" w:line="360" w:lineRule="auto"/>
        <w:ind w:left="705"/>
        <w:rPr>
          <w:rFonts w:ascii="Times" w:hAnsi="Times" w:cs="Times"/>
          <w:sz w:val="26"/>
          <w:szCs w:val="26"/>
        </w:rPr>
      </w:pPr>
      <w:r w:rsidRPr="002461E2">
        <w:rPr>
          <w:rFonts w:ascii="Times" w:hAnsi="Times" w:cs="Times"/>
          <w:sz w:val="26"/>
          <w:szCs w:val="26"/>
        </w:rPr>
        <w:t xml:space="preserve">- As </w:t>
      </w:r>
      <w:r w:rsidR="00AA38F0" w:rsidRPr="002461E2">
        <w:rPr>
          <w:rFonts w:ascii="Times" w:hAnsi="Times" w:cs="Times"/>
          <w:sz w:val="26"/>
          <w:szCs w:val="26"/>
        </w:rPr>
        <w:t>limitações da saúde mental no Brasil sugerem potencialmente a falta de orçamento (ou sua execução), matéria que também demanda a devida atenção</w:t>
      </w:r>
      <w:r w:rsidRPr="002461E2">
        <w:rPr>
          <w:rFonts w:ascii="Times" w:hAnsi="Times" w:cs="Times"/>
          <w:sz w:val="26"/>
          <w:szCs w:val="26"/>
        </w:rPr>
        <w:t>;</w:t>
      </w:r>
    </w:p>
    <w:p w14:paraId="2FE688BC" w14:textId="0303E637" w:rsidR="00374D34" w:rsidRPr="002461E2" w:rsidRDefault="00AA38F0" w:rsidP="00FF193A">
      <w:pPr>
        <w:spacing w:before="120" w:line="360" w:lineRule="auto"/>
        <w:ind w:left="705"/>
        <w:rPr>
          <w:rFonts w:ascii="Times" w:hAnsi="Times" w:cs="Times"/>
          <w:sz w:val="26"/>
          <w:szCs w:val="26"/>
        </w:rPr>
      </w:pPr>
      <w:r w:rsidRPr="002461E2">
        <w:rPr>
          <w:rFonts w:ascii="Times" w:hAnsi="Times" w:cs="Times"/>
          <w:sz w:val="26"/>
          <w:szCs w:val="26"/>
        </w:rPr>
        <w:t>- A OAB</w:t>
      </w:r>
      <w:r w:rsidR="00374D34" w:rsidRPr="002461E2">
        <w:rPr>
          <w:rFonts w:ascii="Times" w:hAnsi="Times" w:cs="Times"/>
          <w:sz w:val="26"/>
          <w:szCs w:val="26"/>
        </w:rPr>
        <w:t xml:space="preserve"> considera natural que haja mudanças em políticas públicas, no entanto, as modificações devem se pautar por evidências científicas, discussão democrática, legalidade e constitucionalidade das medidas, o que não se identificou demonstrado </w:t>
      </w:r>
      <w:r w:rsidR="00FF193A">
        <w:rPr>
          <w:rFonts w:ascii="Times" w:hAnsi="Times" w:cs="Times"/>
          <w:sz w:val="26"/>
          <w:szCs w:val="26"/>
        </w:rPr>
        <w:t xml:space="preserve">de maneira suficiente </w:t>
      </w:r>
      <w:r w:rsidR="00374D34" w:rsidRPr="002461E2">
        <w:rPr>
          <w:rFonts w:ascii="Times" w:hAnsi="Times" w:cs="Times"/>
          <w:sz w:val="26"/>
          <w:szCs w:val="26"/>
        </w:rPr>
        <w:t>no exame realizado.</w:t>
      </w:r>
    </w:p>
    <w:p w14:paraId="0BAC7BD1" w14:textId="7316A770" w:rsidR="00A82C83" w:rsidRPr="002461E2" w:rsidRDefault="00A82C83" w:rsidP="00FF193A">
      <w:pPr>
        <w:spacing w:before="120" w:line="360" w:lineRule="auto"/>
        <w:rPr>
          <w:rFonts w:ascii="Times" w:hAnsi="Times" w:cs="Times"/>
          <w:sz w:val="26"/>
          <w:szCs w:val="26"/>
        </w:rPr>
      </w:pPr>
    </w:p>
    <w:p w14:paraId="618D65DF" w14:textId="088A0D4F" w:rsidR="009C2F8E" w:rsidRPr="002461E2" w:rsidRDefault="009C2F8E" w:rsidP="008C5400">
      <w:pPr>
        <w:spacing w:line="360" w:lineRule="auto"/>
        <w:rPr>
          <w:rFonts w:ascii="Times" w:hAnsi="Times" w:cs="Times"/>
          <w:sz w:val="26"/>
          <w:szCs w:val="26"/>
        </w:rPr>
      </w:pPr>
    </w:p>
    <w:sectPr w:rsidR="009C2F8E" w:rsidRPr="002461E2" w:rsidSect="00754C51">
      <w:headerReference w:type="default" r:id="rId8"/>
      <w:pgSz w:w="11906" w:h="16838"/>
      <w:pgMar w:top="1985" w:right="707"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3F92AA" w14:textId="77777777" w:rsidR="00C52650" w:rsidRDefault="00C52650" w:rsidP="00586EBB">
      <w:pPr>
        <w:spacing w:line="240" w:lineRule="auto"/>
      </w:pPr>
      <w:r>
        <w:separator/>
      </w:r>
    </w:p>
  </w:endnote>
  <w:endnote w:type="continuationSeparator" w:id="0">
    <w:p w14:paraId="55DC8D5F" w14:textId="77777777" w:rsidR="00C52650" w:rsidRDefault="00C52650" w:rsidP="00586EB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bon LT Std">
    <w:panose1 w:val="02020602060506020403"/>
    <w:charset w:val="00"/>
    <w:family w:val="roman"/>
    <w:notTrueType/>
    <w:pitch w:val="variable"/>
    <w:sig w:usb0="800000AF" w:usb1="5000204A"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60409020205020404"/>
    <w:charset w:val="00"/>
    <w:family w:val="modern"/>
    <w:pitch w:val="fixed"/>
    <w:sig w:usb0="00000003" w:usb1="00000000" w:usb2="00000000" w:usb3="00000000" w:csb0="00000001" w:csb1="00000000"/>
  </w:font>
  <w:font w:name="Berkeley-Medium">
    <w:altName w:val="Berkeley"/>
    <w:panose1 w:val="00000000000000000000"/>
    <w:charset w:val="00"/>
    <w:family w:val="roman"/>
    <w:notTrueType/>
    <w:pitch w:val="default"/>
  </w:font>
  <w:font w:name="Berkeley-Italic">
    <w:altName w:val="Berkeley"/>
    <w:panose1 w:val="00000000000000000000"/>
    <w:charset w:val="00"/>
    <w:family w:val="roman"/>
    <w:notTrueType/>
    <w:pitch w:val="default"/>
  </w:font>
  <w:font w:name="Times">
    <w:panose1 w:val="0202060305040502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E69E3B" w14:textId="77777777" w:rsidR="00C52650" w:rsidRDefault="00C52650" w:rsidP="00586EBB">
      <w:pPr>
        <w:spacing w:line="240" w:lineRule="auto"/>
      </w:pPr>
      <w:r>
        <w:separator/>
      </w:r>
    </w:p>
  </w:footnote>
  <w:footnote w:type="continuationSeparator" w:id="0">
    <w:p w14:paraId="411B0383" w14:textId="77777777" w:rsidR="00C52650" w:rsidRDefault="00C52650" w:rsidP="00586EBB">
      <w:pPr>
        <w:spacing w:line="240" w:lineRule="auto"/>
      </w:pPr>
      <w:r>
        <w:continuationSeparator/>
      </w:r>
    </w:p>
  </w:footnote>
  <w:footnote w:id="1">
    <w:p w14:paraId="3CB7460C" w14:textId="2F38498E" w:rsidR="005F0AF9" w:rsidRPr="002461E2" w:rsidRDefault="005F0AF9" w:rsidP="00F65403">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AMADO, Guilherme. Governo Bolsonaro revogará portarias e encerrará programas de saúde mental no SUS</w:t>
      </w:r>
    </w:p>
    <w:p w14:paraId="4B59E2A7" w14:textId="13218C59" w:rsidR="005F0AF9" w:rsidRPr="002461E2" w:rsidRDefault="005F0AF9">
      <w:pPr>
        <w:pStyle w:val="Textodenotaderodap"/>
        <w:rPr>
          <w:rFonts w:ascii="Times" w:hAnsi="Times" w:cs="Times"/>
        </w:rPr>
      </w:pPr>
      <w:r w:rsidRPr="002461E2">
        <w:rPr>
          <w:rFonts w:ascii="Times" w:hAnsi="Times" w:cs="Times"/>
        </w:rPr>
        <w:t xml:space="preserve">Ministério prepara revogaço. </w:t>
      </w:r>
      <w:r w:rsidRPr="002461E2">
        <w:rPr>
          <w:rFonts w:ascii="Times" w:hAnsi="Times" w:cs="Times"/>
          <w:b/>
          <w:bCs/>
        </w:rPr>
        <w:t xml:space="preserve">Revista Época. </w:t>
      </w:r>
      <w:r w:rsidRPr="002461E2">
        <w:rPr>
          <w:rFonts w:ascii="Times" w:hAnsi="Times" w:cs="Times"/>
        </w:rPr>
        <w:t>06.12.2020.</w:t>
      </w:r>
    </w:p>
  </w:footnote>
  <w:footnote w:id="2">
    <w:p w14:paraId="27F3AF82" w14:textId="77777777" w:rsidR="005F0AF9" w:rsidRPr="002461E2" w:rsidRDefault="005F0AF9" w:rsidP="00BA508B">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BRASIL. Câmara dos Deputados.</w:t>
      </w:r>
      <w:r w:rsidRPr="002461E2">
        <w:rPr>
          <w:rFonts w:ascii="Times" w:hAnsi="Times" w:cs="Times"/>
          <w:b/>
          <w:bCs/>
        </w:rPr>
        <w:t xml:space="preserve"> Revogação de portarias pelo governo poderá interromper programas de saúde mental</w:t>
      </w:r>
      <w:r w:rsidRPr="002461E2">
        <w:rPr>
          <w:rFonts w:ascii="Times" w:hAnsi="Times" w:cs="Times"/>
        </w:rPr>
        <w:t>. 07.12.2020. Disponível em &lt;https://www.camara.leg.br/noticias/713604-rodrigo-maia-promete-pautar-projeto-para-manter-saude-mental-no-sus/&gt;. Acesso em 12.12.2020.</w:t>
      </w:r>
    </w:p>
  </w:footnote>
  <w:footnote w:id="3">
    <w:p w14:paraId="760DA430" w14:textId="77777777" w:rsidR="005F0AF9" w:rsidRPr="002461E2" w:rsidRDefault="005F0AF9" w:rsidP="00B733E8">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BRASIL. Senado Federal.</w:t>
      </w:r>
      <w:r w:rsidRPr="002461E2">
        <w:rPr>
          <w:rFonts w:ascii="Times" w:hAnsi="Times" w:cs="Times"/>
          <w:b/>
          <w:bCs/>
        </w:rPr>
        <w:t xml:space="preserve"> Senadores criticam possível revogação de portarias sobre saúde mental</w:t>
      </w:r>
      <w:r w:rsidRPr="002461E2">
        <w:rPr>
          <w:rFonts w:ascii="Times" w:hAnsi="Times" w:cs="Times"/>
        </w:rPr>
        <w:t>. 09.12.2020. Disponível em &lt;https://www12.senado.leg.br/noticias/materias/2020/12/09/senadores-criticam-possivel-</w:t>
      </w:r>
    </w:p>
    <w:p w14:paraId="151BE981" w14:textId="0D54AFE1" w:rsidR="005F0AF9" w:rsidRPr="002461E2" w:rsidRDefault="005F0AF9" w:rsidP="00B733E8">
      <w:pPr>
        <w:pStyle w:val="Textodenotaderodap"/>
        <w:rPr>
          <w:rFonts w:ascii="Times" w:hAnsi="Times" w:cs="Times"/>
        </w:rPr>
      </w:pPr>
      <w:r w:rsidRPr="002461E2">
        <w:rPr>
          <w:rFonts w:ascii="Times" w:hAnsi="Times" w:cs="Times"/>
        </w:rPr>
        <w:t>revogacao-de-portarias-sobre-saude-mental&gt;. Acesso em 12.12.2020.</w:t>
      </w:r>
    </w:p>
  </w:footnote>
  <w:footnote w:id="4">
    <w:p w14:paraId="3C41D71D" w14:textId="4D258FD3" w:rsidR="00F07360" w:rsidRDefault="00F07360">
      <w:pPr>
        <w:pStyle w:val="Textodenotaderodap"/>
      </w:pPr>
      <w:r>
        <w:rPr>
          <w:rStyle w:val="Refdenotaderodap"/>
        </w:rPr>
        <w:footnoteRef/>
      </w:r>
      <w:r>
        <w:t xml:space="preserve"> COLLUCCI, Cláudia. Governo Bolsonaro quer revogar portarias que sustentam política de saúde mental. Plano defendido por entidades médicas encontra resistência entre gestores, conselhos de saúde e comunidade acadêmica. </w:t>
      </w:r>
      <w:r>
        <w:rPr>
          <w:b/>
          <w:bCs/>
        </w:rPr>
        <w:t xml:space="preserve">Folha de S. Paulo. </w:t>
      </w:r>
      <w:r>
        <w:t>07.12.2020.</w:t>
      </w:r>
    </w:p>
  </w:footnote>
  <w:footnote w:id="5">
    <w:p w14:paraId="474F91F5" w14:textId="5A15831B" w:rsidR="005F0AF9" w:rsidRPr="002461E2" w:rsidRDefault="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AMADO, Guilherme. Bolsonarista é favorito para substituir autora de lista do revogaço da saúde mental </w:t>
      </w:r>
      <w:r w:rsidRPr="002461E2">
        <w:rPr>
          <w:rFonts w:ascii="Times" w:hAnsi="Times" w:cs="Times"/>
          <w:b/>
          <w:bCs/>
        </w:rPr>
        <w:t xml:space="preserve">Revista Época. </w:t>
      </w:r>
      <w:r w:rsidRPr="002461E2">
        <w:rPr>
          <w:rFonts w:ascii="Times" w:hAnsi="Times" w:cs="Times"/>
        </w:rPr>
        <w:t>12.12.2020.</w:t>
      </w:r>
    </w:p>
  </w:footnote>
  <w:footnote w:id="6">
    <w:p w14:paraId="3529E2DF" w14:textId="44BA53DC" w:rsidR="005F0AF9" w:rsidRPr="002461E2" w:rsidRDefault="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BRASIL. Ministério da Saúde.</w:t>
      </w:r>
      <w:r w:rsidRPr="002461E2">
        <w:rPr>
          <w:rFonts w:ascii="Times" w:hAnsi="Times" w:cs="Times"/>
          <w:b/>
          <w:bCs/>
        </w:rPr>
        <w:t xml:space="preserve"> Política Nacional de Saúde Mental - um modelo de atenção à saúde mental aberto e de base comunitária</w:t>
      </w:r>
      <w:r w:rsidRPr="002461E2">
        <w:rPr>
          <w:rFonts w:ascii="Times" w:hAnsi="Times" w:cs="Times"/>
        </w:rPr>
        <w:t>. Blog da Saúde. 19.05.15. Disponível em: &lt;http://www.blog.saude.gov.br/index.php/geral/35528-politica-nacional-de-saude-mental-um-modelo-de-atencao-a-saude-mental-aberto-e-de-base-comunitaria&gt;. Acesso em 12.12.2020.</w:t>
      </w:r>
    </w:p>
  </w:footnote>
  <w:footnote w:id="7">
    <w:p w14:paraId="178B500D" w14:textId="209BF789" w:rsidR="005F0AF9" w:rsidRPr="002461E2" w:rsidRDefault="005F0AF9" w:rsidP="00751860">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CRPRP. É preciso reagir contra o “Revogaço” e os retrocessos na política de saúde mental no Brasil. 11.12.2020. Disponível em: &lt;http://www.blog.saude.gov.br/index.php/geral/35528-politica-nacional-de-saude-mental-um-modelo-de-atencao-a-saude-mental-aberto-e-de-base-comunitaria&gt;. Acesso em 12.12.2020.</w:t>
      </w:r>
    </w:p>
  </w:footnote>
  <w:footnote w:id="8">
    <w:p w14:paraId="62590093" w14:textId="56BF9EFA" w:rsidR="005F0AF9" w:rsidRPr="002461E2" w:rsidRDefault="005F0AF9" w:rsidP="00066A7B">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COFEN. </w:t>
      </w:r>
      <w:r w:rsidRPr="002461E2">
        <w:rPr>
          <w:rFonts w:ascii="Times" w:hAnsi="Times" w:cs="Times"/>
          <w:b/>
          <w:bCs/>
        </w:rPr>
        <w:t>Cofen alerta sobre risco de retrocesso na Política de Saúde Mental.</w:t>
      </w:r>
      <w:r w:rsidRPr="002461E2">
        <w:rPr>
          <w:rFonts w:ascii="Times" w:hAnsi="Times" w:cs="Times"/>
        </w:rPr>
        <w:t xml:space="preserve"> Proposta de revogação de portarias coloca em risco a Rede de Atenção Psicossocial0. 07.12.2020. Disponível em &lt;https://www12.senado.leg.br/noticias/materias/2020/12/09/senadores-criticam-possivel-revogacao-de-portarias-sobre-saude-mental&gt;. Acesso em 12.12.2020.</w:t>
      </w:r>
      <w:r w:rsidR="00DD5AE5">
        <w:rPr>
          <w:rFonts w:ascii="Times" w:hAnsi="Times" w:cs="Times"/>
        </w:rPr>
        <w:t xml:space="preserve"> De maneira similar, consta em posicionamento do </w:t>
      </w:r>
      <w:r w:rsidR="00DD5AE5">
        <w:t xml:space="preserve">Grupo Condutor Estadual da Rede Atenção Psicossocial – GCRAPS do Rio Grande do Sul, recebido pela Comissão de Saúde da OAB/PR. </w:t>
      </w:r>
    </w:p>
  </w:footnote>
  <w:footnote w:id="9">
    <w:p w14:paraId="4590241B" w14:textId="74168975" w:rsidR="005F0AF9" w:rsidRPr="002461E2" w:rsidRDefault="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ROBERTO Netto, Paulo. Mais de 120 organizações pedem inquérito contra ‘revogaço’ da saúde mental em discussão no governo Bolsonaro. </w:t>
      </w:r>
      <w:r w:rsidRPr="002461E2">
        <w:rPr>
          <w:rFonts w:ascii="Times" w:hAnsi="Times" w:cs="Times"/>
          <w:b/>
          <w:bCs/>
        </w:rPr>
        <w:t>Estado de São Paulo</w:t>
      </w:r>
      <w:r w:rsidRPr="002461E2">
        <w:rPr>
          <w:rFonts w:ascii="Times" w:hAnsi="Times" w:cs="Times"/>
        </w:rPr>
        <w:t>. 12.12.2020.</w:t>
      </w:r>
    </w:p>
  </w:footnote>
  <w:footnote w:id="10">
    <w:p w14:paraId="4A5C4E43" w14:textId="75AABFF6" w:rsidR="005F0AF9" w:rsidRPr="002461E2" w:rsidRDefault="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Mais de 120 organizações pedem inquérito contra 'revogaço' da saúde mental. </w:t>
      </w:r>
      <w:r w:rsidRPr="002461E2">
        <w:rPr>
          <w:rFonts w:ascii="Times" w:hAnsi="Times" w:cs="Times"/>
          <w:b/>
          <w:bCs/>
        </w:rPr>
        <w:t xml:space="preserve">UOL. </w:t>
      </w:r>
      <w:r w:rsidRPr="002461E2">
        <w:rPr>
          <w:rFonts w:ascii="Times" w:hAnsi="Times" w:cs="Times"/>
        </w:rPr>
        <w:t xml:space="preserve">Disponível em: &lt;https://noticias.uol.com.br/ultimas-noticias/agencia-estado/2020/12/12/mais-de-120-organizacoes-pedem-inquerito-contra-revogaco-da-saude-mental.htm?&gt;. Acesso em 12.12.2020. </w:t>
      </w:r>
    </w:p>
  </w:footnote>
  <w:footnote w:id="11">
    <w:p w14:paraId="21FD961B" w14:textId="7FB74478" w:rsidR="00251D4E" w:rsidRPr="002461E2" w:rsidRDefault="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w:t>
      </w:r>
      <w:r w:rsidR="00251D4E" w:rsidRPr="002461E2">
        <w:rPr>
          <w:rFonts w:ascii="Times" w:hAnsi="Times" w:cs="Times"/>
        </w:rPr>
        <w:t xml:space="preserve">BRASIL. Ministério da Saúde. Conselho Nacional de Saúde. “Loucura não se prende e não se tortura”, reivindicou ato do CNS e CNDH em defesa das políticas de Saúde Mental”. 10.12.2020. Disponível em: &lt;https://noticias.uol.com.br/ultimas-noticias/agencia-estado/2020/12/12/mais-de-120-organizacoes-pedem-inquerito-contra-revogaco-da-saude-mental.htm?&gt;. Acesso em 12.12.2020. </w:t>
      </w:r>
    </w:p>
  </w:footnote>
  <w:footnote w:id="12">
    <w:p w14:paraId="61711EF2" w14:textId="344EAEB7" w:rsidR="005F0AF9" w:rsidRPr="002461E2" w:rsidRDefault="005F0AF9" w:rsidP="00CF0A48">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Mais de 120 organizações pedem inquérito contra 'revogaço' da saúde mental. </w:t>
      </w:r>
      <w:r w:rsidRPr="002461E2">
        <w:rPr>
          <w:rFonts w:ascii="Times" w:hAnsi="Times" w:cs="Times"/>
          <w:b/>
          <w:bCs/>
        </w:rPr>
        <w:t xml:space="preserve">UOL. </w:t>
      </w:r>
      <w:r w:rsidRPr="002461E2">
        <w:rPr>
          <w:rFonts w:ascii="Times" w:hAnsi="Times" w:cs="Times"/>
        </w:rPr>
        <w:t>Disponível em: &lt;https://noticias.uol.com.br/ultimas-noticias/agencia-estado/2020/12/12/mais-de-120-organizacoes-pedem-inquerito-contra-revogaco-da-saude-mental.htm?&gt;. Acesso em 12.12.2020.</w:t>
      </w:r>
    </w:p>
  </w:footnote>
  <w:footnote w:id="13">
    <w:p w14:paraId="2FAC338C" w14:textId="77777777" w:rsidR="005F0AF9" w:rsidRPr="002461E2" w:rsidRDefault="005F0AF9" w:rsidP="00931196">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AMARANTE, Paulo; ROTELLI, Franco. Reforma psiquiátrica na Itália e no Brasil: aspectos históricos e metodológicos. </w:t>
      </w:r>
      <w:r w:rsidRPr="002461E2">
        <w:rPr>
          <w:rFonts w:ascii="Times" w:hAnsi="Times" w:cs="Times"/>
          <w:i/>
        </w:rPr>
        <w:t xml:space="preserve">In: </w:t>
      </w:r>
      <w:r w:rsidRPr="002461E2">
        <w:rPr>
          <w:rFonts w:ascii="Times" w:hAnsi="Times" w:cs="Times"/>
        </w:rPr>
        <w:t xml:space="preserve">BEZERRA, Benilton Jr.; AMARANTE, Paulo (Org.). </w:t>
      </w:r>
      <w:r w:rsidRPr="008942CF">
        <w:rPr>
          <w:rFonts w:ascii="Times" w:hAnsi="Times" w:cs="Times"/>
          <w:b/>
          <w:bCs/>
          <w:iCs/>
        </w:rPr>
        <w:t>Psiquiátrica sem hospício</w:t>
      </w:r>
      <w:r w:rsidRPr="002461E2">
        <w:rPr>
          <w:rFonts w:ascii="Times" w:hAnsi="Times" w:cs="Times"/>
        </w:rPr>
        <w:t xml:space="preserve">. Contribuições para o estudo da reforma psiquiátrica. p. 41-55. p. 44. </w:t>
      </w:r>
    </w:p>
  </w:footnote>
  <w:footnote w:id="14">
    <w:p w14:paraId="09E71EF8" w14:textId="6E647870" w:rsidR="00564A6D" w:rsidRPr="002461E2" w:rsidRDefault="00564A6D">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BRASIL. Secretaria Especial dos Direitos Humanos da Presidência da República</w:t>
      </w:r>
      <w:r w:rsidRPr="002461E2">
        <w:rPr>
          <w:rFonts w:ascii="Times" w:hAnsi="Times" w:cs="Times"/>
          <w:b/>
          <w:bCs/>
        </w:rPr>
        <w:t>. Programa Nacional de Direitos Humanos (PNDH -3)</w:t>
      </w:r>
      <w:r w:rsidRPr="002461E2">
        <w:rPr>
          <w:rFonts w:ascii="Times" w:hAnsi="Times" w:cs="Times"/>
        </w:rPr>
        <w:t>. Brasília: SEDH/PR, 2010. p. 129.</w:t>
      </w:r>
    </w:p>
  </w:footnote>
  <w:footnote w:id="15">
    <w:p w14:paraId="58C257C5" w14:textId="7CB142D7" w:rsidR="005F0AF9" w:rsidRPr="002461E2" w:rsidRDefault="005F0AF9" w:rsidP="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BRASIL. Planalto. </w:t>
      </w:r>
      <w:r w:rsidRPr="00FF193A">
        <w:rPr>
          <w:rFonts w:ascii="Times" w:hAnsi="Times" w:cs="Times"/>
          <w:b/>
          <w:bCs/>
        </w:rPr>
        <w:t>Tratados equivalentes a emendas constitucionais.</w:t>
      </w:r>
      <w:r w:rsidRPr="002461E2">
        <w:rPr>
          <w:rFonts w:ascii="Times" w:hAnsi="Times" w:cs="Times"/>
        </w:rPr>
        <w:t xml:space="preserve"> Disponível em &lt;http://www4.planalto.gov.br/legislacao/portal-legis/internacional/tratados-equivalentes-a-emendas-constitucionais-1&gt;. Acesso em 13.12.2020.</w:t>
      </w:r>
    </w:p>
  </w:footnote>
  <w:footnote w:id="16">
    <w:p w14:paraId="6A44B481" w14:textId="77777777" w:rsidR="005F0AF9" w:rsidRPr="00D568A5" w:rsidRDefault="005F0AF9" w:rsidP="005F0AF9">
      <w:pPr>
        <w:pStyle w:val="NormalWeb"/>
        <w:shd w:val="clear" w:color="auto" w:fill="FFFFFF"/>
        <w:spacing w:before="0" w:beforeAutospacing="0" w:after="0" w:afterAutospacing="0"/>
        <w:jc w:val="both"/>
        <w:rPr>
          <w:rFonts w:ascii="Times" w:hAnsi="Times" w:cs="Times"/>
          <w:sz w:val="20"/>
          <w:szCs w:val="20"/>
        </w:rPr>
      </w:pPr>
      <w:r w:rsidRPr="002461E2">
        <w:rPr>
          <w:rStyle w:val="Refdenotaderodap"/>
          <w:rFonts w:ascii="Times" w:hAnsi="Times" w:cs="Times"/>
          <w:sz w:val="20"/>
          <w:szCs w:val="20"/>
        </w:rPr>
        <w:footnoteRef/>
      </w:r>
      <w:r w:rsidRPr="002461E2">
        <w:rPr>
          <w:rFonts w:ascii="Times" w:hAnsi="Times" w:cs="Times"/>
          <w:sz w:val="20"/>
          <w:szCs w:val="20"/>
        </w:rPr>
        <w:t xml:space="preserve"> BRASIL. Planalto. </w:t>
      </w:r>
      <w:r w:rsidRPr="00D568A5">
        <w:rPr>
          <w:rFonts w:ascii="Times" w:hAnsi="Times" w:cs="Times"/>
          <w:i/>
          <w:sz w:val="20"/>
          <w:szCs w:val="20"/>
        </w:rPr>
        <w:t>Decreto n. 678/1992.</w:t>
      </w:r>
      <w:r w:rsidRPr="00D568A5">
        <w:rPr>
          <w:rFonts w:ascii="Times" w:hAnsi="Times" w:cs="Times"/>
          <w:sz w:val="20"/>
          <w:szCs w:val="20"/>
        </w:rPr>
        <w:t xml:space="preserve"> Promulga o Pacto de San José da Costa Rica.</w:t>
      </w:r>
    </w:p>
  </w:footnote>
  <w:footnote w:id="17">
    <w:p w14:paraId="4D5E8BC6" w14:textId="3074413D" w:rsidR="005F0AF9" w:rsidRPr="002461E2" w:rsidRDefault="005F0AF9" w:rsidP="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SCHULMAN, Gabriel. </w:t>
      </w:r>
      <w:r w:rsidRPr="002461E2">
        <w:rPr>
          <w:rFonts w:ascii="Times" w:hAnsi="Times" w:cs="Times"/>
          <w:b/>
          <w:bCs/>
        </w:rPr>
        <w:t>A internação forçada, saúde mental e drogas.</w:t>
      </w:r>
      <w:r w:rsidRPr="002461E2">
        <w:rPr>
          <w:rFonts w:ascii="Times" w:hAnsi="Times" w:cs="Times"/>
        </w:rPr>
        <w:t xml:space="preserve"> Indaiatuba: Editora Foco. 2020. p 178.</w:t>
      </w:r>
    </w:p>
  </w:footnote>
  <w:footnote w:id="18">
    <w:p w14:paraId="2F24F16C" w14:textId="18A8F69F" w:rsidR="005F0AF9" w:rsidRPr="002461E2" w:rsidRDefault="005F0AF9" w:rsidP="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Corte Interamericana de Direitos Humanos. Caso Ximenes Lopes x Brasil. 2006. Disponível online em &lt;http://www.corteidh.or.cr/docs/casos/articulos/seriec_149_por.pdf&gt;. </w:t>
      </w:r>
    </w:p>
  </w:footnote>
  <w:footnote w:id="19">
    <w:p w14:paraId="69B5CB19" w14:textId="265BFF19" w:rsidR="005F0AF9" w:rsidRPr="002461E2" w:rsidRDefault="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Mais de 120 organizações pedem inquérito contra 'revogaço' da saúde mental. </w:t>
      </w:r>
      <w:r w:rsidRPr="002461E2">
        <w:rPr>
          <w:rFonts w:ascii="Times" w:hAnsi="Times" w:cs="Times"/>
          <w:b/>
          <w:bCs/>
        </w:rPr>
        <w:t xml:space="preserve">UOL. </w:t>
      </w:r>
      <w:r w:rsidRPr="002461E2">
        <w:rPr>
          <w:rFonts w:ascii="Times" w:hAnsi="Times" w:cs="Times"/>
        </w:rPr>
        <w:t>Disponível em: &lt;https://noticias.uol.com.br/ultimas-noticias/agencia-estado/2020/12/12/mais-de-120-organizacoes-pedem-inquerito-contra-revogaco-da-saude-mental.htm?&gt;. Acesso em 12.12.2020.</w:t>
      </w:r>
    </w:p>
  </w:footnote>
  <w:footnote w:id="20">
    <w:p w14:paraId="55E44739" w14:textId="59E399FA" w:rsidR="005F0AF9" w:rsidRPr="002461E2" w:rsidRDefault="005F0AF9" w:rsidP="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ONU. </w:t>
      </w:r>
      <w:r w:rsidRPr="00E22D85">
        <w:rPr>
          <w:rFonts w:ascii="Times" w:hAnsi="Times" w:cs="Times"/>
          <w:b/>
          <w:bCs/>
        </w:rPr>
        <w:t>ONU destaca necessidade urgente de aumentar investimentos em serviços de saúde mental durante a pandemia de COVID-19.</w:t>
      </w:r>
      <w:r w:rsidRPr="002461E2">
        <w:rPr>
          <w:rFonts w:ascii="Times" w:hAnsi="Times" w:cs="Times"/>
        </w:rPr>
        <w:t xml:space="preserve"> Disponível em: &lt; https://www.paho.org/bra/index.php?option=com_content&amp;view=article&amp;id=6170:onu-destaca-necessidade-urgente-de-aumentar-investimentos-em-servicos-de-saude-mental-durante-a-pandemia-de-covid-19&amp;Itemid=839&gt;.</w:t>
      </w:r>
    </w:p>
    <w:p w14:paraId="279FF0CB" w14:textId="2A67450C" w:rsidR="005F0AF9" w:rsidRPr="002461E2" w:rsidRDefault="005F0AF9" w:rsidP="009D213D">
      <w:pPr>
        <w:pStyle w:val="Textodenotaderodap"/>
        <w:rPr>
          <w:rFonts w:ascii="Times" w:hAnsi="Times" w:cs="Times"/>
          <w:lang w:val="en-US"/>
        </w:rPr>
      </w:pPr>
      <w:r w:rsidRPr="002461E2">
        <w:rPr>
          <w:rFonts w:ascii="Times" w:hAnsi="Times" w:cs="Times"/>
        </w:rPr>
        <w:t xml:space="preserve">Acesso em 12.12.2020. ONU alerta para crise de saúde mental diante de pandemia. CNN. 14.05.2020. Disponível em: &lt;https://www.cnnbrasil.com.br/saude/2020/05/14/onu-alerta-para-crise-de-saude-mental-diante-de-pandemia&gt;. Acesso em 12.12.2020. A temática foi aprofundada em: </w:t>
      </w:r>
      <w:r w:rsidR="00C0699B" w:rsidRPr="00C0699B">
        <w:rPr>
          <w:rFonts w:ascii="Times" w:hAnsi="Times" w:cs="Times"/>
          <w:lang w:val="en-US"/>
        </w:rPr>
        <w:t>World</w:t>
      </w:r>
      <w:r w:rsidRPr="00C0699B">
        <w:rPr>
          <w:rFonts w:ascii="Times" w:hAnsi="Times" w:cs="Times"/>
          <w:lang w:val="en-US"/>
        </w:rPr>
        <w:t xml:space="preserve"> Health Organization</w:t>
      </w:r>
      <w:r w:rsidRPr="002461E2">
        <w:rPr>
          <w:rFonts w:ascii="Times" w:hAnsi="Times" w:cs="Times"/>
        </w:rPr>
        <w:t xml:space="preserve">. </w:t>
      </w:r>
      <w:r w:rsidRPr="002461E2">
        <w:rPr>
          <w:rFonts w:ascii="Times" w:hAnsi="Times" w:cs="Times"/>
          <w:b/>
          <w:bCs/>
          <w:lang w:val="en-US"/>
        </w:rPr>
        <w:t xml:space="preserve">Policy Brief: COVID-19 and the Need for Action on Mental Health. </w:t>
      </w:r>
      <w:r w:rsidRPr="002461E2">
        <w:rPr>
          <w:rFonts w:ascii="Times" w:hAnsi="Times" w:cs="Times"/>
          <w:lang w:val="en-US"/>
        </w:rPr>
        <w:t>14.05.2020.</w:t>
      </w:r>
    </w:p>
  </w:footnote>
  <w:footnote w:id="21">
    <w:p w14:paraId="549E5F2D" w14:textId="4EACFA20" w:rsidR="00141D56" w:rsidRPr="00D568A5" w:rsidRDefault="00141D56">
      <w:pPr>
        <w:pStyle w:val="Textodenotaderodap"/>
        <w:rPr>
          <w:rFonts w:ascii="Times" w:hAnsi="Times" w:cs="Times"/>
        </w:rPr>
      </w:pPr>
      <w:r w:rsidRPr="002461E2">
        <w:rPr>
          <w:rStyle w:val="Refdenotaderodap"/>
          <w:rFonts w:ascii="Times" w:hAnsi="Times" w:cs="Times"/>
        </w:rPr>
        <w:footnoteRef/>
      </w:r>
      <w:r w:rsidRPr="002461E2">
        <w:rPr>
          <w:rFonts w:ascii="Times" w:hAnsi="Times" w:cs="Times"/>
          <w:lang w:val="en-US"/>
        </w:rPr>
        <w:t xml:space="preserve"> WORLD HEALTH ORGANIZATION</w:t>
      </w:r>
      <w:r w:rsidRPr="002461E2">
        <w:rPr>
          <w:rFonts w:ascii="Times" w:hAnsi="Times" w:cs="Times"/>
          <w:b/>
          <w:bCs/>
          <w:lang w:val="en-US"/>
        </w:rPr>
        <w:t xml:space="preserve">. Policy options on mental health: a WHO-Gulbenkian Mental Health Platform collaboration. </w:t>
      </w:r>
      <w:r w:rsidRPr="00D568A5">
        <w:rPr>
          <w:rFonts w:ascii="Times" w:hAnsi="Times" w:cs="Times"/>
        </w:rPr>
        <w:t>2017. p. 2.</w:t>
      </w:r>
    </w:p>
  </w:footnote>
  <w:footnote w:id="22">
    <w:p w14:paraId="14456416" w14:textId="4C571AC0" w:rsidR="007D3B43" w:rsidRPr="002461E2" w:rsidRDefault="007D3B43">
      <w:pPr>
        <w:pStyle w:val="Textodenotaderodap"/>
        <w:rPr>
          <w:rFonts w:ascii="Times" w:hAnsi="Times" w:cs="Times"/>
        </w:rPr>
      </w:pPr>
      <w:r w:rsidRPr="002461E2">
        <w:rPr>
          <w:rStyle w:val="Refdenotaderodap"/>
          <w:rFonts w:ascii="Times" w:hAnsi="Times" w:cs="Times"/>
        </w:rPr>
        <w:footnoteRef/>
      </w:r>
      <w:r w:rsidRPr="00D568A5">
        <w:rPr>
          <w:rFonts w:ascii="Times" w:hAnsi="Times" w:cs="Times"/>
        </w:rPr>
        <w:t xml:space="preserve"> SCHULMAN, Gabriel. </w:t>
      </w:r>
      <w:r w:rsidRPr="002461E2">
        <w:rPr>
          <w:rFonts w:ascii="Times" w:hAnsi="Times" w:cs="Times"/>
          <w:b/>
          <w:bCs/>
        </w:rPr>
        <w:t>A internação forçada, saúde mental e drogas.</w:t>
      </w:r>
      <w:r w:rsidRPr="002461E2">
        <w:rPr>
          <w:rFonts w:ascii="Times" w:hAnsi="Times" w:cs="Times"/>
        </w:rPr>
        <w:t xml:space="preserve"> Indaiatuba: Editora Foco. 2020. p. 181.</w:t>
      </w:r>
      <w:r w:rsidR="002461E2" w:rsidRPr="002461E2">
        <w:rPr>
          <w:rFonts w:ascii="Times" w:hAnsi="Times" w:cs="Times"/>
        </w:rPr>
        <w:t xml:space="preserve"> Na mesma linha: BRASIL. Ministério Público Federal. </w:t>
      </w:r>
      <w:r w:rsidR="002461E2" w:rsidRPr="002461E2">
        <w:rPr>
          <w:rFonts w:ascii="Times" w:hAnsi="Times" w:cs="Times"/>
          <w:b/>
          <w:bCs/>
        </w:rPr>
        <w:t>Parecer sobre medidas de segurança e hospitais de custódia e tratamento psiquiátrico sob a perspectiva da lei n. 10.216/2001</w:t>
      </w:r>
      <w:r w:rsidR="002461E2" w:rsidRPr="002461E2">
        <w:rPr>
          <w:rFonts w:ascii="Times" w:hAnsi="Times" w:cs="Times"/>
        </w:rPr>
        <w:t xml:space="preserve">. Brasília: MPF, 2011. p. 65. JACOBINA, Paulo Vasconcelos. </w:t>
      </w:r>
      <w:r w:rsidR="002461E2" w:rsidRPr="002461E2">
        <w:rPr>
          <w:rFonts w:ascii="Times" w:hAnsi="Times" w:cs="Times"/>
          <w:i/>
        </w:rPr>
        <w:t xml:space="preserve">Direito penal da loucura e reforma psiquiátrica. </w:t>
      </w:r>
      <w:r w:rsidR="002461E2" w:rsidRPr="002461E2">
        <w:rPr>
          <w:rFonts w:ascii="Times" w:hAnsi="Times" w:cs="Times"/>
        </w:rPr>
        <w:t>Brasília: ESMPU (Escola Superior do Ministério Público da União), 2008.</w:t>
      </w:r>
    </w:p>
  </w:footnote>
  <w:footnote w:id="23">
    <w:p w14:paraId="19A231D8" w14:textId="22B490E7" w:rsidR="009074FA" w:rsidRPr="00376A69" w:rsidRDefault="009074FA">
      <w:pPr>
        <w:pStyle w:val="Textodenotaderodap"/>
        <w:rPr>
          <w:rFonts w:ascii="Times" w:hAnsi="Times" w:cs="Times"/>
        </w:rPr>
      </w:pPr>
      <w:r w:rsidRPr="00376A69">
        <w:rPr>
          <w:rStyle w:val="Refdenotaderodap"/>
          <w:rFonts w:ascii="Times" w:hAnsi="Times" w:cs="Times"/>
        </w:rPr>
        <w:footnoteRef/>
      </w:r>
      <w:r w:rsidRPr="00376A69">
        <w:rPr>
          <w:rFonts w:ascii="Times" w:hAnsi="Times" w:cs="Times"/>
        </w:rPr>
        <w:t xml:space="preserve"> CONSELHO FEDERAL DE PSICOLOGIA</w:t>
      </w:r>
      <w:r w:rsidRPr="00376A69">
        <w:rPr>
          <w:rFonts w:ascii="Times" w:hAnsi="Times" w:cs="Times"/>
          <w:b/>
          <w:bCs/>
        </w:rPr>
        <w:t>. Memorial: retrocessos no cuidado e tratamento de saúde mental e drogas no brasil.</w:t>
      </w:r>
      <w:r w:rsidRPr="00376A69">
        <w:rPr>
          <w:rFonts w:ascii="Times" w:hAnsi="Times" w:cs="Times"/>
        </w:rPr>
        <w:t xml:space="preserve"> 2020. Disponível em &lt;https://site.cfp.org.br/wp-content/uploads/2020/12/900.8_LY_CARTA_abrasme_A4.pdf&gt;. Acesso em 10.12.2020.</w:t>
      </w:r>
    </w:p>
  </w:footnote>
  <w:footnote w:id="24">
    <w:p w14:paraId="64F41370" w14:textId="4F7E3317" w:rsidR="00376A69" w:rsidRDefault="00376A69">
      <w:pPr>
        <w:pStyle w:val="Textodenotaderodap"/>
      </w:pPr>
      <w:r>
        <w:rPr>
          <w:rStyle w:val="Refdenotaderodap"/>
        </w:rPr>
        <w:footnoteRef/>
      </w:r>
      <w:r>
        <w:t xml:space="preserve"> ONU. </w:t>
      </w:r>
      <w:r w:rsidRPr="00376A69">
        <w:t>ONU debate como alcançar metas de saúde mental na Agenda 2030</w:t>
      </w:r>
      <w:r>
        <w:t xml:space="preserve">. </w:t>
      </w:r>
      <w:r>
        <w:rPr>
          <w:b/>
          <w:bCs/>
        </w:rPr>
        <w:t xml:space="preserve">Onu News. </w:t>
      </w:r>
      <w:r w:rsidR="00326D10" w:rsidRPr="00326D10">
        <w:t>Disponível em &lt;https://news.un.org/pt/story/2016/09/1562181-onu-debate-como-alcancar-metas-de-saude-mental-na-agenda-2030&gt;. Acesso em 10.12.2020.</w:t>
      </w:r>
    </w:p>
  </w:footnote>
  <w:footnote w:id="25">
    <w:p w14:paraId="2C253682" w14:textId="716D5E3E" w:rsidR="006D2B15" w:rsidRPr="00376A69" w:rsidRDefault="006D2B15">
      <w:pPr>
        <w:pStyle w:val="Textodenotaderodap"/>
        <w:rPr>
          <w:rFonts w:ascii="Times" w:hAnsi="Times" w:cs="Times"/>
        </w:rPr>
      </w:pPr>
      <w:r w:rsidRPr="00376A69">
        <w:rPr>
          <w:rStyle w:val="Refdenotaderodap"/>
          <w:rFonts w:ascii="Times" w:hAnsi="Times" w:cs="Times"/>
        </w:rPr>
        <w:footnoteRef/>
      </w:r>
      <w:r w:rsidRPr="00376A69">
        <w:rPr>
          <w:rFonts w:ascii="Times" w:hAnsi="Times" w:cs="Times"/>
        </w:rPr>
        <w:t xml:space="preserve"> “A violência cometida por parceiros e a violência sexual causam sérios problemas para a saúde física, mental, sexual e reprodutiva a curto e a longo prazo para sobreviventes e seus filhos, e levam a altos custos sociais e econômicos. A </w:t>
      </w:r>
      <w:r w:rsidRPr="00376A69">
        <w:rPr>
          <w:rFonts w:ascii="Times" w:hAnsi="Times" w:cs="Times"/>
          <w:b/>
          <w:bCs/>
        </w:rPr>
        <w:t>violência contra as mulheres pode ter consequências mortais, como o homicídio ou o suicídio</w:t>
      </w:r>
      <w:r w:rsidR="00594C2E" w:rsidRPr="00376A69">
        <w:rPr>
          <w:rFonts w:ascii="Times" w:hAnsi="Times" w:cs="Times"/>
          <w:b/>
          <w:bCs/>
        </w:rPr>
        <w:t>”</w:t>
      </w:r>
      <w:r w:rsidRPr="00376A69">
        <w:rPr>
          <w:rFonts w:ascii="Times" w:hAnsi="Times" w:cs="Times"/>
          <w:b/>
          <w:bCs/>
        </w:rPr>
        <w:t>.</w:t>
      </w:r>
      <w:r w:rsidR="00376A69">
        <w:rPr>
          <w:rFonts w:ascii="Times" w:hAnsi="Times" w:cs="Times"/>
          <w:b/>
          <w:bCs/>
        </w:rPr>
        <w:t xml:space="preserve"> </w:t>
      </w:r>
      <w:r w:rsidR="00376A69" w:rsidRPr="00376A69">
        <w:rPr>
          <w:rFonts w:ascii="Times" w:hAnsi="Times" w:cs="Times"/>
        </w:rPr>
        <w:t xml:space="preserve">ONU. Organização Mundial </w:t>
      </w:r>
      <w:r w:rsidR="00376A69">
        <w:rPr>
          <w:rFonts w:ascii="Times" w:hAnsi="Times" w:cs="Times"/>
        </w:rPr>
        <w:t>d</w:t>
      </w:r>
      <w:r w:rsidR="00376A69" w:rsidRPr="00376A69">
        <w:rPr>
          <w:rFonts w:ascii="Times" w:hAnsi="Times" w:cs="Times"/>
        </w:rPr>
        <w:t>a Saúde</w:t>
      </w:r>
      <w:r w:rsidR="00594C2E" w:rsidRPr="00376A69">
        <w:rPr>
          <w:rFonts w:ascii="Times" w:hAnsi="Times" w:cs="Times"/>
        </w:rPr>
        <w:t>.</w:t>
      </w:r>
      <w:r w:rsidR="00594C2E" w:rsidRPr="00376A69">
        <w:rPr>
          <w:rFonts w:ascii="Times" w:hAnsi="Times" w:cs="Times"/>
          <w:b/>
          <w:bCs/>
        </w:rPr>
        <w:t xml:space="preserve"> Folha informativa - Violência contra as mulheres.</w:t>
      </w:r>
      <w:r w:rsidR="00594C2E" w:rsidRPr="00376A69">
        <w:rPr>
          <w:rFonts w:ascii="Times" w:hAnsi="Times" w:cs="Times"/>
        </w:rPr>
        <w:t xml:space="preserve"> 2017.</w:t>
      </w:r>
    </w:p>
  </w:footnote>
  <w:footnote w:id="26">
    <w:p w14:paraId="09E9AA3B" w14:textId="7AF2999D" w:rsidR="00326D10" w:rsidRDefault="00326D10">
      <w:pPr>
        <w:pStyle w:val="Textodenotaderodap"/>
      </w:pPr>
      <w:r>
        <w:rPr>
          <w:rStyle w:val="Refdenotaderodap"/>
        </w:rPr>
        <w:footnoteRef/>
      </w:r>
      <w:r>
        <w:t xml:space="preserve"> ONU. </w:t>
      </w:r>
      <w:r w:rsidRPr="00326D10">
        <w:rPr>
          <w:b/>
          <w:bCs/>
        </w:rPr>
        <w:t>ONU quer que governos façam mais para prevenir o suicídio.</w:t>
      </w:r>
      <w:r w:rsidRPr="00326D10">
        <w:t xml:space="preserve"> Disponível em &lt; https://news.un.org/pt/story/2019/10/1690331&gt;. Acesso em 10.12.2020.</w:t>
      </w:r>
    </w:p>
  </w:footnote>
  <w:footnote w:id="27">
    <w:p w14:paraId="6DDFD24D" w14:textId="622433EF" w:rsidR="005F0AF9" w:rsidRPr="00376A69" w:rsidRDefault="005F0AF9">
      <w:pPr>
        <w:pStyle w:val="Textodenotaderodap"/>
        <w:rPr>
          <w:rFonts w:ascii="Times" w:hAnsi="Times" w:cs="Times"/>
        </w:rPr>
      </w:pPr>
      <w:r w:rsidRPr="00376A69">
        <w:rPr>
          <w:rStyle w:val="Refdenotaderodap"/>
          <w:rFonts w:ascii="Times" w:hAnsi="Times" w:cs="Times"/>
        </w:rPr>
        <w:footnoteRef/>
      </w:r>
      <w:r w:rsidRPr="00376A69">
        <w:rPr>
          <w:rFonts w:ascii="Times" w:hAnsi="Times" w:cs="Times"/>
        </w:rPr>
        <w:t xml:space="preserve"> STF. </w:t>
      </w:r>
      <w:r w:rsidR="009074FA" w:rsidRPr="00376A69">
        <w:rPr>
          <w:rFonts w:ascii="Times" w:hAnsi="Times" w:cs="Times"/>
        </w:rPr>
        <w:t>A</w:t>
      </w:r>
      <w:r w:rsidRPr="00376A69">
        <w:rPr>
          <w:rFonts w:ascii="Times" w:hAnsi="Times" w:cs="Times"/>
        </w:rPr>
        <w:t>DI 4.066, Rel. Min. Rosa Weber, Dje: 07.03.2018.</w:t>
      </w:r>
    </w:p>
  </w:footnote>
  <w:footnote w:id="28">
    <w:p w14:paraId="73FF18E9" w14:textId="253F4E00" w:rsidR="005F0AF9" w:rsidRPr="002461E2" w:rsidRDefault="005F0AF9">
      <w:pPr>
        <w:pStyle w:val="Textodenotaderodap"/>
        <w:rPr>
          <w:rFonts w:ascii="Times" w:hAnsi="Times" w:cs="Times"/>
        </w:rPr>
      </w:pPr>
      <w:r w:rsidRPr="00376A69">
        <w:rPr>
          <w:rStyle w:val="Refdenotaderodap"/>
          <w:rFonts w:ascii="Times" w:hAnsi="Times" w:cs="Times"/>
        </w:rPr>
        <w:footnoteRef/>
      </w:r>
      <w:r w:rsidRPr="00376A69">
        <w:rPr>
          <w:rFonts w:ascii="Times" w:hAnsi="Times" w:cs="Times"/>
        </w:rPr>
        <w:t xml:space="preserve"> STF. ADI n. 5501 MC (Medida cautelar na ação direta de inconstitucionalidade). Tribunal Pleno. Rel.: Min.: Marco Aurélio. DJe: 31.07.2017</w:t>
      </w:r>
    </w:p>
  </w:footnote>
  <w:footnote w:id="29">
    <w:p w14:paraId="3B4CBB22" w14:textId="77777777" w:rsidR="005F0AF9" w:rsidRPr="002461E2" w:rsidRDefault="005F0AF9" w:rsidP="005F0AF9">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w:t>
      </w:r>
      <w:bookmarkStart w:id="1" w:name="_Hlk495060304"/>
      <w:r w:rsidRPr="002461E2">
        <w:rPr>
          <w:rFonts w:ascii="Times" w:hAnsi="Times" w:cs="Times"/>
        </w:rPr>
        <w:t>“[...] é cediço que muitos pedidos de internação compulsória apresentados ao Judiciário, quase sempre em razão da dependência do crack ou de outra droga, têm se mostrado desnecessários”. (</w:t>
      </w:r>
      <w:bookmarkStart w:id="2" w:name="_Hlk495199059"/>
      <w:r w:rsidRPr="002461E2">
        <w:rPr>
          <w:rFonts w:ascii="Times" w:hAnsi="Times" w:cs="Times"/>
        </w:rPr>
        <w:t xml:space="preserve">BARDARO, Rosália; MAPELLI Júnior, Reynaldo. Saúde mental – Legislação e normas aplicáveis. </w:t>
      </w:r>
      <w:r w:rsidRPr="002461E2">
        <w:rPr>
          <w:rFonts w:ascii="Times" w:hAnsi="Times" w:cs="Times"/>
          <w:i/>
        </w:rPr>
        <w:t xml:space="preserve">In: </w:t>
      </w:r>
      <w:r w:rsidRPr="002461E2">
        <w:rPr>
          <w:rFonts w:ascii="Times" w:hAnsi="Times" w:cs="Times"/>
        </w:rPr>
        <w:t xml:space="preserve">MATEUS, Mário Dinis (Org.). </w:t>
      </w:r>
      <w:r w:rsidRPr="002461E2">
        <w:rPr>
          <w:rFonts w:ascii="Times" w:hAnsi="Times" w:cs="Times"/>
          <w:i/>
        </w:rPr>
        <w:t>Políticas de saúde mental:</w:t>
      </w:r>
      <w:r w:rsidRPr="002461E2">
        <w:rPr>
          <w:rFonts w:ascii="Times" w:hAnsi="Times" w:cs="Times"/>
        </w:rPr>
        <w:t xml:space="preserve"> baseado no curso Políticas públicas de saúde mental, do CAPS Luiz R. Cerqueira. São Paulo: Instituto de Saúde, 2013. p. 376-399. p. 395).</w:t>
      </w:r>
      <w:bookmarkEnd w:id="2"/>
      <w:r w:rsidRPr="002461E2">
        <w:rPr>
          <w:rFonts w:ascii="Times" w:hAnsi="Times" w:cs="Times"/>
        </w:rPr>
        <w:t xml:space="preserve"> “Grande parte da população internada para cumprimento de medida de segurança não deveria estar presa, nem sequer teria indicação de tratamento em regime hospitalar”. </w:t>
      </w:r>
      <w:bookmarkEnd w:id="1"/>
      <w:r w:rsidRPr="002461E2">
        <w:rPr>
          <w:rFonts w:ascii="Times" w:hAnsi="Times" w:cs="Times"/>
        </w:rPr>
        <w:t xml:space="preserve">KOLKLER, Tania. Hospitais de custódia e tratamento psiquiátrico no contexto da reforma psiquiátrica: realidades evidenciadas pelas inspeções e alternativas possíveis. </w:t>
      </w:r>
      <w:r w:rsidRPr="002461E2">
        <w:rPr>
          <w:rFonts w:ascii="Times" w:hAnsi="Times" w:cs="Times"/>
          <w:i/>
        </w:rPr>
        <w:t xml:space="preserve">In: </w:t>
      </w:r>
      <w:r w:rsidRPr="002461E2">
        <w:rPr>
          <w:rFonts w:ascii="Times" w:hAnsi="Times" w:cs="Times"/>
        </w:rPr>
        <w:t xml:space="preserve">CONSELHO FEDERAL DE PSICOLOGIA. </w:t>
      </w:r>
      <w:r w:rsidRPr="002461E2">
        <w:rPr>
          <w:rFonts w:ascii="Times" w:hAnsi="Times" w:cs="Times"/>
          <w:i/>
        </w:rPr>
        <w:t>Louco Infrator e o Estigma da Periculosidade</w:t>
      </w:r>
      <w:r w:rsidRPr="002461E2">
        <w:rPr>
          <w:rFonts w:ascii="Times" w:hAnsi="Times" w:cs="Times"/>
        </w:rPr>
        <w:t>. VENTURINI, Ernesto; MATTOS, Virgílio de; OLIVEIRA, Rodrigo Tôrres Org.) Brasília: CFP, 2016. p. 204-230. p. 209.</w:t>
      </w:r>
    </w:p>
  </w:footnote>
  <w:footnote w:id="30">
    <w:p w14:paraId="79B8B9D6" w14:textId="4C758DCF" w:rsidR="007D3B43" w:rsidRPr="002461E2" w:rsidRDefault="007D3B43">
      <w:pPr>
        <w:pStyle w:val="Textodenotaderodap"/>
        <w:rPr>
          <w:rFonts w:ascii="Times" w:hAnsi="Times" w:cs="Times"/>
        </w:rPr>
      </w:pPr>
      <w:r w:rsidRPr="002461E2">
        <w:rPr>
          <w:rStyle w:val="Refdenotaderodap"/>
          <w:rFonts w:ascii="Times" w:hAnsi="Times" w:cs="Times"/>
        </w:rPr>
        <w:footnoteRef/>
      </w:r>
      <w:r w:rsidRPr="002461E2">
        <w:rPr>
          <w:rFonts w:ascii="Times" w:hAnsi="Times" w:cs="Times"/>
        </w:rPr>
        <w:t xml:space="preserve"> SCHULMAN, Gabriel. </w:t>
      </w:r>
      <w:r w:rsidRPr="002461E2">
        <w:rPr>
          <w:rFonts w:ascii="Times" w:hAnsi="Times" w:cs="Times"/>
          <w:b/>
          <w:bCs/>
        </w:rPr>
        <w:t>A internação forçada, saúde mental e drogas.</w:t>
      </w:r>
      <w:r w:rsidRPr="002461E2">
        <w:rPr>
          <w:rFonts w:ascii="Times" w:hAnsi="Times" w:cs="Times"/>
        </w:rPr>
        <w:t xml:space="preserve"> Indaiatuba: Editora Foco. 2020. p. 177.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F7B35" w14:textId="7EF117A0" w:rsidR="005F0AF9" w:rsidRDefault="005F0AF9">
    <w:pPr>
      <w:pStyle w:val="Cabealho"/>
    </w:pPr>
    <w:r>
      <w:tab/>
    </w:r>
    <w:r>
      <w:tab/>
    </w:r>
  </w:p>
  <w:p w14:paraId="48C69C43" w14:textId="77777777" w:rsidR="005F0AF9" w:rsidRDefault="005F0AF9">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35524E6"/>
    <w:multiLevelType w:val="hybridMultilevel"/>
    <w:tmpl w:val="C6788BA0"/>
    <w:lvl w:ilvl="0" w:tplc="EDEABC58">
      <w:start w:val="1"/>
      <w:numFmt w:val="decimal"/>
      <w:lvlText w:val="%1."/>
      <w:lvlJc w:val="left"/>
      <w:pPr>
        <w:ind w:left="1065" w:hanging="360"/>
      </w:pPr>
      <w:rPr>
        <w:rFonts w:hint="default"/>
        <w:i w:val="0"/>
        <w:color w:val="auto"/>
      </w:rPr>
    </w:lvl>
    <w:lvl w:ilvl="1" w:tplc="04160019">
      <w:start w:val="1"/>
      <w:numFmt w:val="lowerLetter"/>
      <w:lvlText w:val="%2."/>
      <w:lvlJc w:val="left"/>
      <w:pPr>
        <w:ind w:left="1785" w:hanging="360"/>
      </w:pPr>
    </w:lvl>
    <w:lvl w:ilvl="2" w:tplc="0416001B">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1" w15:restartNumberingAfterBreak="0">
    <w:nsid w:val="573A1128"/>
    <w:multiLevelType w:val="hybridMultilevel"/>
    <w:tmpl w:val="D6586BF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5F481498"/>
    <w:multiLevelType w:val="hybridMultilevel"/>
    <w:tmpl w:val="E180764C"/>
    <w:lvl w:ilvl="0" w:tplc="50F67A5E">
      <w:start w:val="1"/>
      <w:numFmt w:val="upperRoman"/>
      <w:lvlText w:val="%1."/>
      <w:lvlJc w:val="left"/>
      <w:pPr>
        <w:ind w:left="72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EBB"/>
    <w:rsid w:val="0003009B"/>
    <w:rsid w:val="00066A7B"/>
    <w:rsid w:val="00130296"/>
    <w:rsid w:val="00141D56"/>
    <w:rsid w:val="001D519E"/>
    <w:rsid w:val="001F1306"/>
    <w:rsid w:val="0021456F"/>
    <w:rsid w:val="00245752"/>
    <w:rsid w:val="002461E2"/>
    <w:rsid w:val="00251D4E"/>
    <w:rsid w:val="0025505B"/>
    <w:rsid w:val="00321532"/>
    <w:rsid w:val="00326D10"/>
    <w:rsid w:val="00331A4A"/>
    <w:rsid w:val="0036582B"/>
    <w:rsid w:val="00374D34"/>
    <w:rsid w:val="00376A69"/>
    <w:rsid w:val="003B10DA"/>
    <w:rsid w:val="003E47EE"/>
    <w:rsid w:val="00401E7E"/>
    <w:rsid w:val="004920D1"/>
    <w:rsid w:val="00543445"/>
    <w:rsid w:val="00564A6D"/>
    <w:rsid w:val="005859B9"/>
    <w:rsid w:val="00586EBB"/>
    <w:rsid w:val="00594C2E"/>
    <w:rsid w:val="00597C0C"/>
    <w:rsid w:val="005F0AF9"/>
    <w:rsid w:val="00621157"/>
    <w:rsid w:val="00626F59"/>
    <w:rsid w:val="0065334A"/>
    <w:rsid w:val="0066494E"/>
    <w:rsid w:val="00681A13"/>
    <w:rsid w:val="00686C2A"/>
    <w:rsid w:val="006D1455"/>
    <w:rsid w:val="006D2B15"/>
    <w:rsid w:val="006E4439"/>
    <w:rsid w:val="006E50E0"/>
    <w:rsid w:val="00734E81"/>
    <w:rsid w:val="00751860"/>
    <w:rsid w:val="00754C51"/>
    <w:rsid w:val="00784868"/>
    <w:rsid w:val="007D34F0"/>
    <w:rsid w:val="007D3B43"/>
    <w:rsid w:val="008156F3"/>
    <w:rsid w:val="00847D54"/>
    <w:rsid w:val="008942CF"/>
    <w:rsid w:val="008C5400"/>
    <w:rsid w:val="009074FA"/>
    <w:rsid w:val="00917FB0"/>
    <w:rsid w:val="00925FAE"/>
    <w:rsid w:val="00931196"/>
    <w:rsid w:val="009970B8"/>
    <w:rsid w:val="0099714B"/>
    <w:rsid w:val="009C2F8E"/>
    <w:rsid w:val="009D213D"/>
    <w:rsid w:val="009E621B"/>
    <w:rsid w:val="009E7146"/>
    <w:rsid w:val="00A14AED"/>
    <w:rsid w:val="00A61D0B"/>
    <w:rsid w:val="00A82C83"/>
    <w:rsid w:val="00AA38F0"/>
    <w:rsid w:val="00AB0766"/>
    <w:rsid w:val="00AC16A0"/>
    <w:rsid w:val="00AC2F89"/>
    <w:rsid w:val="00B46136"/>
    <w:rsid w:val="00B5700A"/>
    <w:rsid w:val="00B733E8"/>
    <w:rsid w:val="00B76970"/>
    <w:rsid w:val="00BA2695"/>
    <w:rsid w:val="00BA508B"/>
    <w:rsid w:val="00C013D9"/>
    <w:rsid w:val="00C0699B"/>
    <w:rsid w:val="00C4246C"/>
    <w:rsid w:val="00C52650"/>
    <w:rsid w:val="00CF0A48"/>
    <w:rsid w:val="00D26E0F"/>
    <w:rsid w:val="00D40183"/>
    <w:rsid w:val="00D568A5"/>
    <w:rsid w:val="00D65C77"/>
    <w:rsid w:val="00DD5AE5"/>
    <w:rsid w:val="00E064A6"/>
    <w:rsid w:val="00E22D85"/>
    <w:rsid w:val="00E51A28"/>
    <w:rsid w:val="00E701E7"/>
    <w:rsid w:val="00EB68B0"/>
    <w:rsid w:val="00EC1871"/>
    <w:rsid w:val="00ED2E09"/>
    <w:rsid w:val="00F07360"/>
    <w:rsid w:val="00F14FFB"/>
    <w:rsid w:val="00F65403"/>
    <w:rsid w:val="00F74358"/>
    <w:rsid w:val="00F83095"/>
    <w:rsid w:val="00FA28D8"/>
    <w:rsid w:val="00FF193A"/>
    <w:rsid w:val="00FF3D3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CDFA9E"/>
  <w15:chartTrackingRefBased/>
  <w15:docId w15:val="{B2D4E4ED-AF78-41C2-961B-B09CC639F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6EBB"/>
    <w:pPr>
      <w:spacing w:after="0" w:line="300" w:lineRule="exact"/>
      <w:jc w:val="both"/>
    </w:pPr>
    <w:rPr>
      <w:rFonts w:ascii="Sabon LT Std" w:eastAsia="Calibri" w:hAnsi="Sabon LT Std" w:cs="Times New Roman"/>
      <w:sz w:val="24"/>
      <w:szCs w:val="24"/>
      <w:lang w:eastAsia="pt-BR"/>
    </w:rPr>
  </w:style>
  <w:style w:type="paragraph" w:styleId="Ttulo1">
    <w:name w:val="heading 1"/>
    <w:basedOn w:val="Normal"/>
    <w:link w:val="Ttulo1Char"/>
    <w:uiPriority w:val="9"/>
    <w:qFormat/>
    <w:rsid w:val="00D26E0F"/>
    <w:pPr>
      <w:spacing w:before="100" w:beforeAutospacing="1" w:after="100" w:afterAutospacing="1" w:line="240" w:lineRule="auto"/>
      <w:jc w:val="left"/>
      <w:outlineLvl w:val="0"/>
    </w:pPr>
    <w:rPr>
      <w:rFonts w:ascii="Times New Roman" w:eastAsia="Times New Roman" w:hAnsi="Times New Roman"/>
      <w:b/>
      <w:bCs/>
      <w:kern w:val="36"/>
      <w:sz w:val="48"/>
      <w:szCs w:val="48"/>
    </w:rPr>
  </w:style>
  <w:style w:type="paragraph" w:styleId="Ttulo2">
    <w:name w:val="heading 2"/>
    <w:basedOn w:val="Normal"/>
    <w:next w:val="Normal"/>
    <w:link w:val="Ttulo2Char"/>
    <w:uiPriority w:val="9"/>
    <w:semiHidden/>
    <w:unhideWhenUsed/>
    <w:qFormat/>
    <w:rsid w:val="00751860"/>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586EBB"/>
    <w:pPr>
      <w:tabs>
        <w:tab w:val="center" w:pos="4252"/>
        <w:tab w:val="right" w:pos="8504"/>
      </w:tabs>
      <w:spacing w:line="240" w:lineRule="auto"/>
    </w:pPr>
  </w:style>
  <w:style w:type="character" w:customStyle="1" w:styleId="CabealhoChar">
    <w:name w:val="Cabeçalho Char"/>
    <w:basedOn w:val="Fontepargpadro"/>
    <w:link w:val="Cabealho"/>
    <w:uiPriority w:val="99"/>
    <w:rsid w:val="00586EBB"/>
    <w:rPr>
      <w:rFonts w:ascii="Sabon LT Std" w:eastAsia="Calibri" w:hAnsi="Sabon LT Std" w:cs="Times New Roman"/>
      <w:sz w:val="24"/>
      <w:szCs w:val="24"/>
      <w:lang w:eastAsia="pt-BR"/>
    </w:rPr>
  </w:style>
  <w:style w:type="paragraph" w:styleId="Rodap">
    <w:name w:val="footer"/>
    <w:basedOn w:val="Normal"/>
    <w:link w:val="RodapChar"/>
    <w:uiPriority w:val="99"/>
    <w:unhideWhenUsed/>
    <w:rsid w:val="00586EBB"/>
    <w:pPr>
      <w:tabs>
        <w:tab w:val="center" w:pos="4252"/>
        <w:tab w:val="right" w:pos="8504"/>
      </w:tabs>
      <w:spacing w:line="240" w:lineRule="auto"/>
    </w:pPr>
  </w:style>
  <w:style w:type="character" w:customStyle="1" w:styleId="RodapChar">
    <w:name w:val="Rodapé Char"/>
    <w:basedOn w:val="Fontepargpadro"/>
    <w:link w:val="Rodap"/>
    <w:uiPriority w:val="99"/>
    <w:rsid w:val="00586EBB"/>
    <w:rPr>
      <w:rFonts w:ascii="Sabon LT Std" w:eastAsia="Calibri" w:hAnsi="Sabon LT Std" w:cs="Times New Roman"/>
      <w:sz w:val="24"/>
      <w:szCs w:val="24"/>
      <w:lang w:eastAsia="pt-BR"/>
    </w:rPr>
  </w:style>
  <w:style w:type="paragraph" w:customStyle="1" w:styleId="003-CLIENTE">
    <w:name w:val="003-CLIENTE"/>
    <w:qFormat/>
    <w:rsid w:val="00586EBB"/>
    <w:pPr>
      <w:spacing w:before="480" w:after="0" w:line="240" w:lineRule="auto"/>
      <w:jc w:val="both"/>
    </w:pPr>
    <w:rPr>
      <w:rFonts w:ascii="Tahoma" w:eastAsia="Times New Roman" w:hAnsi="Tahoma" w:cs="Times New Roman"/>
      <w:bCs/>
      <w:color w:val="7F7F7F"/>
      <w:sz w:val="28"/>
      <w:szCs w:val="28"/>
      <w:lang w:eastAsia="pt-BR"/>
    </w:rPr>
  </w:style>
  <w:style w:type="paragraph" w:styleId="PargrafodaLista">
    <w:name w:val="List Paragraph"/>
    <w:basedOn w:val="Normal"/>
    <w:uiPriority w:val="34"/>
    <w:qFormat/>
    <w:rsid w:val="00586EBB"/>
    <w:pPr>
      <w:ind w:left="720"/>
      <w:contextualSpacing/>
    </w:pPr>
  </w:style>
  <w:style w:type="table" w:styleId="Tabelacomgrade">
    <w:name w:val="Table Grid"/>
    <w:basedOn w:val="Tabelanormal"/>
    <w:uiPriority w:val="39"/>
    <w:rsid w:val="00586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notaderodap">
    <w:name w:val="footnote text"/>
    <w:aliases w:val="fn,Footnote ak,footnote text char,Char, Char,Char Char Char Char Char Char,Char Char Char Char,Char Char Char Char Char,Texto de rodapé,Texto de nota de rodapé Char Char Char Char Char Char"/>
    <w:basedOn w:val="Normal"/>
    <w:link w:val="TextodenotaderodapChar"/>
    <w:uiPriority w:val="99"/>
    <w:unhideWhenUsed/>
    <w:rsid w:val="00586EBB"/>
    <w:pPr>
      <w:spacing w:line="240" w:lineRule="auto"/>
    </w:pPr>
    <w:rPr>
      <w:sz w:val="20"/>
      <w:szCs w:val="20"/>
    </w:rPr>
  </w:style>
  <w:style w:type="character" w:customStyle="1" w:styleId="TextodenotaderodapChar">
    <w:name w:val="Texto de nota de rodapé Char"/>
    <w:aliases w:val="fn Char,Footnote ak Char,footnote text char Char,Char Char, Char Char,Char Char Char Char Char Char Char,Char Char Char Char Char1,Char Char Char Char Char Char1,Texto de rodapé Char"/>
    <w:basedOn w:val="Fontepargpadro"/>
    <w:link w:val="Textodenotaderodap"/>
    <w:uiPriority w:val="99"/>
    <w:rsid w:val="00586EBB"/>
    <w:rPr>
      <w:rFonts w:ascii="Sabon LT Std" w:eastAsia="Calibri" w:hAnsi="Sabon LT Std" w:cs="Times New Roman"/>
      <w:sz w:val="20"/>
      <w:szCs w:val="20"/>
      <w:lang w:eastAsia="pt-BR"/>
    </w:rPr>
  </w:style>
  <w:style w:type="character" w:styleId="Refdenotaderodap">
    <w:name w:val="footnote reference"/>
    <w:basedOn w:val="Fontepargpadro"/>
    <w:uiPriority w:val="99"/>
    <w:unhideWhenUsed/>
    <w:rsid w:val="00586EBB"/>
    <w:rPr>
      <w:vertAlign w:val="superscript"/>
    </w:rPr>
  </w:style>
  <w:style w:type="character" w:customStyle="1" w:styleId="CostaeFernandes-TextoChar">
    <w:name w:val="Costa e Fernandes - Texto Char"/>
    <w:link w:val="CostaeFernandes-Texto"/>
    <w:locked/>
    <w:rsid w:val="00586EBB"/>
    <w:rPr>
      <w:rFonts w:ascii="Courier" w:hAnsi="Courier"/>
      <w:sz w:val="24"/>
      <w:szCs w:val="24"/>
    </w:rPr>
  </w:style>
  <w:style w:type="paragraph" w:customStyle="1" w:styleId="CostaeFernandes-Texto">
    <w:name w:val="Costa e Fernandes - Texto"/>
    <w:basedOn w:val="Normal"/>
    <w:link w:val="CostaeFernandes-TextoChar"/>
    <w:qFormat/>
    <w:rsid w:val="00586EBB"/>
    <w:pPr>
      <w:spacing w:after="200" w:line="276" w:lineRule="auto"/>
      <w:ind w:firstLine="1134"/>
    </w:pPr>
    <w:rPr>
      <w:rFonts w:ascii="Courier" w:eastAsiaTheme="minorHAnsi" w:hAnsi="Courier" w:cstheme="minorBidi"/>
      <w:lang w:eastAsia="en-US"/>
    </w:rPr>
  </w:style>
  <w:style w:type="table" w:styleId="TabeladeGradeClara">
    <w:name w:val="Grid Table Light"/>
    <w:basedOn w:val="Tabelanormal"/>
    <w:uiPriority w:val="40"/>
    <w:rsid w:val="00586EB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754C51"/>
    <w:pPr>
      <w:spacing w:before="100" w:beforeAutospacing="1" w:after="100" w:afterAutospacing="1" w:line="240" w:lineRule="auto"/>
      <w:jc w:val="left"/>
    </w:pPr>
    <w:rPr>
      <w:rFonts w:ascii="Times New Roman" w:eastAsia="Times New Roman" w:hAnsi="Times New Roman"/>
    </w:rPr>
  </w:style>
  <w:style w:type="character" w:styleId="Hyperlink">
    <w:name w:val="Hyperlink"/>
    <w:basedOn w:val="Fontepargpadro"/>
    <w:uiPriority w:val="99"/>
    <w:unhideWhenUsed/>
    <w:rsid w:val="00917FB0"/>
    <w:rPr>
      <w:color w:val="0563C1" w:themeColor="hyperlink"/>
      <w:u w:val="single"/>
    </w:rPr>
  </w:style>
  <w:style w:type="character" w:styleId="MenoPendente">
    <w:name w:val="Unresolved Mention"/>
    <w:basedOn w:val="Fontepargpadro"/>
    <w:uiPriority w:val="99"/>
    <w:semiHidden/>
    <w:unhideWhenUsed/>
    <w:rsid w:val="00917FB0"/>
    <w:rPr>
      <w:color w:val="605E5C"/>
      <w:shd w:val="clear" w:color="auto" w:fill="E1DFDD"/>
    </w:rPr>
  </w:style>
  <w:style w:type="character" w:customStyle="1" w:styleId="Ttulo1Char">
    <w:name w:val="Título 1 Char"/>
    <w:basedOn w:val="Fontepargpadro"/>
    <w:link w:val="Ttulo1"/>
    <w:uiPriority w:val="9"/>
    <w:rsid w:val="00D26E0F"/>
    <w:rPr>
      <w:rFonts w:ascii="Times New Roman" w:eastAsia="Times New Roman" w:hAnsi="Times New Roman" w:cs="Times New Roman"/>
      <w:b/>
      <w:bCs/>
      <w:kern w:val="36"/>
      <w:sz w:val="48"/>
      <w:szCs w:val="48"/>
      <w:lang w:eastAsia="pt-BR"/>
    </w:rPr>
  </w:style>
  <w:style w:type="character" w:customStyle="1" w:styleId="text-muted">
    <w:name w:val="text-muted"/>
    <w:basedOn w:val="Fontepargpadro"/>
    <w:rsid w:val="00D26E0F"/>
  </w:style>
  <w:style w:type="character" w:customStyle="1" w:styleId="fontstyle01">
    <w:name w:val="fontstyle01"/>
    <w:basedOn w:val="Fontepargpadro"/>
    <w:rsid w:val="0066494E"/>
    <w:rPr>
      <w:rFonts w:ascii="Berkeley-Medium" w:hAnsi="Berkeley-Medium" w:hint="default"/>
      <w:b w:val="0"/>
      <w:bCs w:val="0"/>
      <w:i w:val="0"/>
      <w:iCs w:val="0"/>
      <w:color w:val="000000"/>
      <w:sz w:val="24"/>
      <w:szCs w:val="24"/>
    </w:rPr>
  </w:style>
  <w:style w:type="character" w:customStyle="1" w:styleId="fontstyle21">
    <w:name w:val="fontstyle21"/>
    <w:basedOn w:val="Fontepargpadro"/>
    <w:rsid w:val="0066494E"/>
    <w:rPr>
      <w:rFonts w:ascii="Berkeley-Italic" w:hAnsi="Berkeley-Italic" w:hint="default"/>
      <w:b w:val="0"/>
      <w:bCs w:val="0"/>
      <w:i/>
      <w:iCs/>
      <w:color w:val="000000"/>
      <w:sz w:val="24"/>
      <w:szCs w:val="24"/>
    </w:rPr>
  </w:style>
  <w:style w:type="character" w:customStyle="1" w:styleId="Ttulo2Char">
    <w:name w:val="Título 2 Char"/>
    <w:basedOn w:val="Fontepargpadro"/>
    <w:link w:val="Ttulo2"/>
    <w:uiPriority w:val="9"/>
    <w:semiHidden/>
    <w:rsid w:val="00751860"/>
    <w:rPr>
      <w:rFonts w:asciiTheme="majorHAnsi" w:eastAsiaTheme="majorEastAsia" w:hAnsiTheme="majorHAnsi" w:cstheme="majorBidi"/>
      <w:color w:val="2F5496" w:themeColor="accent1" w:themeShade="BF"/>
      <w:sz w:val="26"/>
      <w:szCs w:val="26"/>
      <w:lang w:eastAsia="pt-BR"/>
    </w:rPr>
  </w:style>
  <w:style w:type="character" w:customStyle="1" w:styleId="wg9shc">
    <w:name w:val="wg9shc"/>
    <w:basedOn w:val="Fontepargpadro"/>
    <w:rsid w:val="00FA28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75156">
      <w:bodyDiv w:val="1"/>
      <w:marLeft w:val="0"/>
      <w:marRight w:val="0"/>
      <w:marTop w:val="0"/>
      <w:marBottom w:val="0"/>
      <w:divBdr>
        <w:top w:val="none" w:sz="0" w:space="0" w:color="auto"/>
        <w:left w:val="none" w:sz="0" w:space="0" w:color="auto"/>
        <w:bottom w:val="none" w:sz="0" w:space="0" w:color="auto"/>
        <w:right w:val="none" w:sz="0" w:space="0" w:color="auto"/>
      </w:divBdr>
      <w:divsChild>
        <w:div w:id="1948732391">
          <w:marLeft w:val="90"/>
          <w:marRight w:val="0"/>
          <w:marTop w:val="0"/>
          <w:marBottom w:val="0"/>
          <w:divBdr>
            <w:top w:val="single" w:sz="6" w:space="2" w:color="808080"/>
            <w:left w:val="single" w:sz="6" w:space="2" w:color="808080"/>
            <w:bottom w:val="single" w:sz="6" w:space="2" w:color="808080"/>
            <w:right w:val="single" w:sz="6" w:space="2" w:color="808080"/>
          </w:divBdr>
        </w:div>
      </w:divsChild>
    </w:div>
    <w:div w:id="119108748">
      <w:bodyDiv w:val="1"/>
      <w:marLeft w:val="0"/>
      <w:marRight w:val="0"/>
      <w:marTop w:val="0"/>
      <w:marBottom w:val="0"/>
      <w:divBdr>
        <w:top w:val="none" w:sz="0" w:space="0" w:color="auto"/>
        <w:left w:val="none" w:sz="0" w:space="0" w:color="auto"/>
        <w:bottom w:val="none" w:sz="0" w:space="0" w:color="auto"/>
        <w:right w:val="none" w:sz="0" w:space="0" w:color="auto"/>
      </w:divBdr>
      <w:divsChild>
        <w:div w:id="1215123824">
          <w:marLeft w:val="0"/>
          <w:marRight w:val="0"/>
          <w:marTop w:val="0"/>
          <w:marBottom w:val="0"/>
          <w:divBdr>
            <w:top w:val="none" w:sz="0" w:space="0" w:color="auto"/>
            <w:left w:val="none" w:sz="0" w:space="0" w:color="auto"/>
            <w:bottom w:val="none" w:sz="0" w:space="0" w:color="auto"/>
            <w:right w:val="none" w:sz="0" w:space="0" w:color="auto"/>
          </w:divBdr>
          <w:divsChild>
            <w:div w:id="103961351">
              <w:marLeft w:val="0"/>
              <w:marRight w:val="0"/>
              <w:marTop w:val="0"/>
              <w:marBottom w:val="0"/>
              <w:divBdr>
                <w:top w:val="none" w:sz="0" w:space="0" w:color="auto"/>
                <w:left w:val="none" w:sz="0" w:space="0" w:color="auto"/>
                <w:bottom w:val="none" w:sz="0" w:space="0" w:color="auto"/>
                <w:right w:val="none" w:sz="0" w:space="0" w:color="auto"/>
              </w:divBdr>
            </w:div>
          </w:divsChild>
        </w:div>
        <w:div w:id="1051613133">
          <w:marLeft w:val="0"/>
          <w:marRight w:val="0"/>
          <w:marTop w:val="0"/>
          <w:marBottom w:val="0"/>
          <w:divBdr>
            <w:top w:val="none" w:sz="0" w:space="0" w:color="auto"/>
            <w:left w:val="none" w:sz="0" w:space="0" w:color="auto"/>
            <w:bottom w:val="none" w:sz="0" w:space="0" w:color="auto"/>
            <w:right w:val="none" w:sz="0" w:space="0" w:color="auto"/>
          </w:divBdr>
          <w:divsChild>
            <w:div w:id="13735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5376407">
      <w:bodyDiv w:val="1"/>
      <w:marLeft w:val="0"/>
      <w:marRight w:val="0"/>
      <w:marTop w:val="0"/>
      <w:marBottom w:val="0"/>
      <w:divBdr>
        <w:top w:val="none" w:sz="0" w:space="0" w:color="auto"/>
        <w:left w:val="none" w:sz="0" w:space="0" w:color="auto"/>
        <w:bottom w:val="none" w:sz="0" w:space="0" w:color="auto"/>
        <w:right w:val="none" w:sz="0" w:space="0" w:color="auto"/>
      </w:divBdr>
      <w:divsChild>
        <w:div w:id="1268464719">
          <w:marLeft w:val="0"/>
          <w:marRight w:val="0"/>
          <w:marTop w:val="0"/>
          <w:marBottom w:val="0"/>
          <w:divBdr>
            <w:top w:val="none" w:sz="0" w:space="0" w:color="auto"/>
            <w:left w:val="none" w:sz="0" w:space="0" w:color="auto"/>
            <w:bottom w:val="none" w:sz="0" w:space="0" w:color="auto"/>
            <w:right w:val="none" w:sz="0" w:space="0" w:color="auto"/>
          </w:divBdr>
        </w:div>
      </w:divsChild>
    </w:div>
    <w:div w:id="373387737">
      <w:bodyDiv w:val="1"/>
      <w:marLeft w:val="0"/>
      <w:marRight w:val="0"/>
      <w:marTop w:val="0"/>
      <w:marBottom w:val="0"/>
      <w:divBdr>
        <w:top w:val="none" w:sz="0" w:space="0" w:color="auto"/>
        <w:left w:val="none" w:sz="0" w:space="0" w:color="auto"/>
        <w:bottom w:val="none" w:sz="0" w:space="0" w:color="auto"/>
        <w:right w:val="none" w:sz="0" w:space="0" w:color="auto"/>
      </w:divBdr>
      <w:divsChild>
        <w:div w:id="886572625">
          <w:marLeft w:val="0"/>
          <w:marRight w:val="0"/>
          <w:marTop w:val="0"/>
          <w:marBottom w:val="300"/>
          <w:divBdr>
            <w:top w:val="none" w:sz="0" w:space="0" w:color="auto"/>
            <w:left w:val="none" w:sz="0" w:space="0" w:color="auto"/>
            <w:bottom w:val="single" w:sz="6" w:space="5" w:color="EEEEEE"/>
            <w:right w:val="none" w:sz="0" w:space="0" w:color="auto"/>
          </w:divBdr>
        </w:div>
      </w:divsChild>
    </w:div>
    <w:div w:id="395468478">
      <w:bodyDiv w:val="1"/>
      <w:marLeft w:val="0"/>
      <w:marRight w:val="0"/>
      <w:marTop w:val="0"/>
      <w:marBottom w:val="0"/>
      <w:divBdr>
        <w:top w:val="none" w:sz="0" w:space="0" w:color="auto"/>
        <w:left w:val="none" w:sz="0" w:space="0" w:color="auto"/>
        <w:bottom w:val="none" w:sz="0" w:space="0" w:color="auto"/>
        <w:right w:val="none" w:sz="0" w:space="0" w:color="auto"/>
      </w:divBdr>
    </w:div>
    <w:div w:id="566190289">
      <w:bodyDiv w:val="1"/>
      <w:marLeft w:val="0"/>
      <w:marRight w:val="0"/>
      <w:marTop w:val="0"/>
      <w:marBottom w:val="0"/>
      <w:divBdr>
        <w:top w:val="none" w:sz="0" w:space="0" w:color="auto"/>
        <w:left w:val="none" w:sz="0" w:space="0" w:color="auto"/>
        <w:bottom w:val="none" w:sz="0" w:space="0" w:color="auto"/>
        <w:right w:val="none" w:sz="0" w:space="0" w:color="auto"/>
      </w:divBdr>
      <w:divsChild>
        <w:div w:id="2031106253">
          <w:marLeft w:val="90"/>
          <w:marRight w:val="0"/>
          <w:marTop w:val="0"/>
          <w:marBottom w:val="0"/>
          <w:divBdr>
            <w:top w:val="single" w:sz="6" w:space="2" w:color="808080"/>
            <w:left w:val="single" w:sz="6" w:space="2" w:color="808080"/>
            <w:bottom w:val="single" w:sz="6" w:space="2" w:color="808080"/>
            <w:right w:val="single" w:sz="6" w:space="2" w:color="808080"/>
          </w:divBdr>
        </w:div>
      </w:divsChild>
    </w:div>
    <w:div w:id="633173469">
      <w:bodyDiv w:val="1"/>
      <w:marLeft w:val="0"/>
      <w:marRight w:val="0"/>
      <w:marTop w:val="0"/>
      <w:marBottom w:val="0"/>
      <w:divBdr>
        <w:top w:val="none" w:sz="0" w:space="0" w:color="auto"/>
        <w:left w:val="none" w:sz="0" w:space="0" w:color="auto"/>
        <w:bottom w:val="none" w:sz="0" w:space="0" w:color="auto"/>
        <w:right w:val="none" w:sz="0" w:space="0" w:color="auto"/>
      </w:divBdr>
      <w:divsChild>
        <w:div w:id="1769152315">
          <w:marLeft w:val="0"/>
          <w:marRight w:val="0"/>
          <w:marTop w:val="0"/>
          <w:marBottom w:val="0"/>
          <w:divBdr>
            <w:top w:val="none" w:sz="0" w:space="0" w:color="auto"/>
            <w:left w:val="none" w:sz="0" w:space="0" w:color="auto"/>
            <w:bottom w:val="none" w:sz="0" w:space="0" w:color="auto"/>
            <w:right w:val="none" w:sz="0" w:space="0" w:color="auto"/>
          </w:divBdr>
          <w:divsChild>
            <w:div w:id="462702096">
              <w:marLeft w:val="0"/>
              <w:marRight w:val="0"/>
              <w:marTop w:val="0"/>
              <w:marBottom w:val="0"/>
              <w:divBdr>
                <w:top w:val="none" w:sz="0" w:space="0" w:color="auto"/>
                <w:left w:val="none" w:sz="0" w:space="0" w:color="auto"/>
                <w:bottom w:val="none" w:sz="0" w:space="0" w:color="auto"/>
                <w:right w:val="none" w:sz="0" w:space="0" w:color="auto"/>
              </w:divBdr>
            </w:div>
          </w:divsChild>
        </w:div>
        <w:div w:id="630943536">
          <w:marLeft w:val="0"/>
          <w:marRight w:val="0"/>
          <w:marTop w:val="0"/>
          <w:marBottom w:val="0"/>
          <w:divBdr>
            <w:top w:val="none" w:sz="0" w:space="0" w:color="auto"/>
            <w:left w:val="none" w:sz="0" w:space="0" w:color="auto"/>
            <w:bottom w:val="none" w:sz="0" w:space="0" w:color="auto"/>
            <w:right w:val="none" w:sz="0" w:space="0" w:color="auto"/>
          </w:divBdr>
          <w:divsChild>
            <w:div w:id="57528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946526">
      <w:bodyDiv w:val="1"/>
      <w:marLeft w:val="0"/>
      <w:marRight w:val="0"/>
      <w:marTop w:val="0"/>
      <w:marBottom w:val="0"/>
      <w:divBdr>
        <w:top w:val="none" w:sz="0" w:space="0" w:color="auto"/>
        <w:left w:val="none" w:sz="0" w:space="0" w:color="auto"/>
        <w:bottom w:val="none" w:sz="0" w:space="0" w:color="auto"/>
        <w:right w:val="none" w:sz="0" w:space="0" w:color="auto"/>
      </w:divBdr>
      <w:divsChild>
        <w:div w:id="144010456">
          <w:marLeft w:val="0"/>
          <w:marRight w:val="0"/>
          <w:marTop w:val="0"/>
          <w:marBottom w:val="0"/>
          <w:divBdr>
            <w:top w:val="none" w:sz="0" w:space="0" w:color="auto"/>
            <w:left w:val="none" w:sz="0" w:space="0" w:color="auto"/>
            <w:bottom w:val="none" w:sz="0" w:space="0" w:color="auto"/>
            <w:right w:val="none" w:sz="0" w:space="0" w:color="auto"/>
          </w:divBdr>
          <w:divsChild>
            <w:div w:id="1224101320">
              <w:marLeft w:val="0"/>
              <w:marRight w:val="0"/>
              <w:marTop w:val="0"/>
              <w:marBottom w:val="0"/>
              <w:divBdr>
                <w:top w:val="none" w:sz="0" w:space="0" w:color="auto"/>
                <w:left w:val="none" w:sz="0" w:space="0" w:color="auto"/>
                <w:bottom w:val="none" w:sz="0" w:space="0" w:color="auto"/>
                <w:right w:val="none" w:sz="0" w:space="0" w:color="auto"/>
              </w:divBdr>
              <w:divsChild>
                <w:div w:id="1644314667">
                  <w:marLeft w:val="-225"/>
                  <w:marRight w:val="-225"/>
                  <w:marTop w:val="0"/>
                  <w:marBottom w:val="0"/>
                  <w:divBdr>
                    <w:top w:val="none" w:sz="0" w:space="0" w:color="auto"/>
                    <w:left w:val="none" w:sz="0" w:space="0" w:color="auto"/>
                    <w:bottom w:val="none" w:sz="0" w:space="0" w:color="auto"/>
                    <w:right w:val="none" w:sz="0" w:space="0" w:color="auto"/>
                  </w:divBdr>
                  <w:divsChild>
                    <w:div w:id="1687058166">
                      <w:marLeft w:val="0"/>
                      <w:marRight w:val="0"/>
                      <w:marTop w:val="0"/>
                      <w:marBottom w:val="0"/>
                      <w:divBdr>
                        <w:top w:val="none" w:sz="0" w:space="0" w:color="auto"/>
                        <w:left w:val="none" w:sz="0" w:space="0" w:color="auto"/>
                        <w:bottom w:val="none" w:sz="0" w:space="0" w:color="auto"/>
                        <w:right w:val="none" w:sz="0" w:space="0" w:color="auto"/>
                      </w:divBdr>
                      <w:divsChild>
                        <w:div w:id="1466771728">
                          <w:marLeft w:val="-225"/>
                          <w:marRight w:val="-225"/>
                          <w:marTop w:val="0"/>
                          <w:marBottom w:val="0"/>
                          <w:divBdr>
                            <w:top w:val="none" w:sz="0" w:space="0" w:color="auto"/>
                            <w:left w:val="none" w:sz="0" w:space="0" w:color="auto"/>
                            <w:bottom w:val="none" w:sz="0" w:space="0" w:color="auto"/>
                            <w:right w:val="none" w:sz="0" w:space="0" w:color="auto"/>
                          </w:divBdr>
                          <w:divsChild>
                            <w:div w:id="266471116">
                              <w:marLeft w:val="4125"/>
                              <w:marRight w:val="0"/>
                              <w:marTop w:val="0"/>
                              <w:marBottom w:val="0"/>
                              <w:divBdr>
                                <w:top w:val="none" w:sz="0" w:space="0" w:color="auto"/>
                                <w:left w:val="none" w:sz="0" w:space="0" w:color="auto"/>
                                <w:bottom w:val="none" w:sz="0" w:space="0" w:color="auto"/>
                                <w:right w:val="none" w:sz="0" w:space="0" w:color="auto"/>
                              </w:divBdr>
                              <w:divsChild>
                                <w:div w:id="774207093">
                                  <w:marLeft w:val="0"/>
                                  <w:marRight w:val="0"/>
                                  <w:marTop w:val="0"/>
                                  <w:marBottom w:val="0"/>
                                  <w:divBdr>
                                    <w:top w:val="none" w:sz="0" w:space="0" w:color="auto"/>
                                    <w:left w:val="none" w:sz="0" w:space="0" w:color="auto"/>
                                    <w:bottom w:val="none" w:sz="0" w:space="0" w:color="auto"/>
                                    <w:right w:val="none" w:sz="0" w:space="0" w:color="auto"/>
                                  </w:divBdr>
                                </w:div>
                                <w:div w:id="579026739">
                                  <w:marLeft w:val="0"/>
                                  <w:marRight w:val="0"/>
                                  <w:marTop w:val="0"/>
                                  <w:marBottom w:val="0"/>
                                  <w:divBdr>
                                    <w:top w:val="none" w:sz="0" w:space="0" w:color="auto"/>
                                    <w:left w:val="none" w:sz="0" w:space="0" w:color="auto"/>
                                    <w:bottom w:val="none" w:sz="0" w:space="0" w:color="auto"/>
                                    <w:right w:val="none" w:sz="0" w:space="0" w:color="auto"/>
                                  </w:divBdr>
                                  <w:divsChild>
                                    <w:div w:id="1511605879">
                                      <w:marLeft w:val="0"/>
                                      <w:marRight w:val="0"/>
                                      <w:marTop w:val="0"/>
                                      <w:marBottom w:val="0"/>
                                      <w:divBdr>
                                        <w:top w:val="none" w:sz="0" w:space="0" w:color="auto"/>
                                        <w:left w:val="none" w:sz="0" w:space="0" w:color="auto"/>
                                        <w:bottom w:val="none" w:sz="0" w:space="0" w:color="auto"/>
                                        <w:right w:val="none" w:sz="0" w:space="0" w:color="auto"/>
                                      </w:divBdr>
                                      <w:divsChild>
                                        <w:div w:id="477889415">
                                          <w:marLeft w:val="-15"/>
                                          <w:marRight w:val="-15"/>
                                          <w:marTop w:val="0"/>
                                          <w:marBottom w:val="0"/>
                                          <w:divBdr>
                                            <w:top w:val="none" w:sz="0" w:space="0" w:color="auto"/>
                                            <w:left w:val="none" w:sz="0" w:space="0" w:color="auto"/>
                                            <w:bottom w:val="none" w:sz="0" w:space="0" w:color="auto"/>
                                            <w:right w:val="none" w:sz="0" w:space="0" w:color="auto"/>
                                          </w:divBdr>
                                          <w:divsChild>
                                            <w:div w:id="636185042">
                                              <w:marLeft w:val="-15"/>
                                              <w:marRight w:val="-15"/>
                                              <w:marTop w:val="0"/>
                                              <w:marBottom w:val="0"/>
                                              <w:divBdr>
                                                <w:top w:val="none" w:sz="0" w:space="0" w:color="auto"/>
                                                <w:left w:val="none" w:sz="0" w:space="0" w:color="auto"/>
                                                <w:bottom w:val="none" w:sz="0" w:space="0" w:color="auto"/>
                                                <w:right w:val="none" w:sz="0" w:space="0" w:color="auto"/>
                                              </w:divBdr>
                                            </w:div>
                                            <w:div w:id="1743258478">
                                              <w:marLeft w:val="0"/>
                                              <w:marRight w:val="0"/>
                                              <w:marTop w:val="0"/>
                                              <w:marBottom w:val="0"/>
                                              <w:divBdr>
                                                <w:top w:val="none" w:sz="0" w:space="0" w:color="auto"/>
                                                <w:left w:val="none" w:sz="0" w:space="0" w:color="auto"/>
                                                <w:bottom w:val="none" w:sz="0" w:space="0" w:color="auto"/>
                                                <w:right w:val="none" w:sz="0" w:space="0" w:color="auto"/>
                                              </w:divBdr>
                                              <w:divsChild>
                                                <w:div w:id="933829847">
                                                  <w:marLeft w:val="-15"/>
                                                  <w:marRight w:val="-15"/>
                                                  <w:marTop w:val="0"/>
                                                  <w:marBottom w:val="0"/>
                                                  <w:divBdr>
                                                    <w:top w:val="none" w:sz="0" w:space="0" w:color="auto"/>
                                                    <w:left w:val="none" w:sz="0" w:space="0" w:color="auto"/>
                                                    <w:bottom w:val="none" w:sz="0" w:space="0" w:color="auto"/>
                                                    <w:right w:val="none" w:sz="0" w:space="0" w:color="auto"/>
                                                  </w:divBdr>
                                                  <w:divsChild>
                                                    <w:div w:id="1004554316">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sChild>
                                    </w:div>
                                    <w:div w:id="261651509">
                                      <w:marLeft w:val="0"/>
                                      <w:marRight w:val="0"/>
                                      <w:marTop w:val="0"/>
                                      <w:marBottom w:val="0"/>
                                      <w:divBdr>
                                        <w:top w:val="none" w:sz="0" w:space="0" w:color="auto"/>
                                        <w:left w:val="none" w:sz="0" w:space="0" w:color="auto"/>
                                        <w:bottom w:val="none" w:sz="0" w:space="0" w:color="auto"/>
                                        <w:right w:val="none" w:sz="0" w:space="0" w:color="auto"/>
                                      </w:divBdr>
                                      <w:divsChild>
                                        <w:div w:id="1527597498">
                                          <w:marLeft w:val="-15"/>
                                          <w:marRight w:val="-15"/>
                                          <w:marTop w:val="0"/>
                                          <w:marBottom w:val="0"/>
                                          <w:divBdr>
                                            <w:top w:val="none" w:sz="0" w:space="0" w:color="auto"/>
                                            <w:left w:val="none" w:sz="0" w:space="0" w:color="auto"/>
                                            <w:bottom w:val="none" w:sz="0" w:space="0" w:color="auto"/>
                                            <w:right w:val="none" w:sz="0" w:space="0" w:color="auto"/>
                                          </w:divBdr>
                                          <w:divsChild>
                                            <w:div w:id="182539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74221559">
          <w:marLeft w:val="0"/>
          <w:marRight w:val="0"/>
          <w:marTop w:val="0"/>
          <w:marBottom w:val="0"/>
          <w:divBdr>
            <w:top w:val="none" w:sz="0" w:space="0" w:color="auto"/>
            <w:left w:val="none" w:sz="0" w:space="0" w:color="auto"/>
            <w:bottom w:val="none" w:sz="0" w:space="0" w:color="auto"/>
            <w:right w:val="none" w:sz="0" w:space="0" w:color="auto"/>
          </w:divBdr>
          <w:divsChild>
            <w:div w:id="1997831285">
              <w:marLeft w:val="0"/>
              <w:marRight w:val="0"/>
              <w:marTop w:val="0"/>
              <w:marBottom w:val="0"/>
              <w:divBdr>
                <w:top w:val="none" w:sz="0" w:space="0" w:color="auto"/>
                <w:left w:val="none" w:sz="0" w:space="0" w:color="auto"/>
                <w:bottom w:val="none" w:sz="0" w:space="0" w:color="auto"/>
                <w:right w:val="none" w:sz="0" w:space="0" w:color="auto"/>
              </w:divBdr>
              <w:divsChild>
                <w:div w:id="490800335">
                  <w:marLeft w:val="-225"/>
                  <w:marRight w:val="-225"/>
                  <w:marTop w:val="0"/>
                  <w:marBottom w:val="0"/>
                  <w:divBdr>
                    <w:top w:val="none" w:sz="0" w:space="0" w:color="auto"/>
                    <w:left w:val="none" w:sz="0" w:space="0" w:color="auto"/>
                    <w:bottom w:val="none" w:sz="0" w:space="0" w:color="auto"/>
                    <w:right w:val="none" w:sz="0" w:space="0" w:color="auto"/>
                  </w:divBdr>
                  <w:divsChild>
                    <w:div w:id="2033147681">
                      <w:marLeft w:val="0"/>
                      <w:marRight w:val="0"/>
                      <w:marTop w:val="0"/>
                      <w:marBottom w:val="0"/>
                      <w:divBdr>
                        <w:top w:val="none" w:sz="0" w:space="0" w:color="auto"/>
                        <w:left w:val="none" w:sz="0" w:space="0" w:color="auto"/>
                        <w:bottom w:val="none" w:sz="0" w:space="0" w:color="auto"/>
                        <w:right w:val="none" w:sz="0" w:space="0" w:color="auto"/>
                      </w:divBdr>
                      <w:divsChild>
                        <w:div w:id="1156920016">
                          <w:marLeft w:val="-225"/>
                          <w:marRight w:val="-225"/>
                          <w:marTop w:val="0"/>
                          <w:marBottom w:val="0"/>
                          <w:divBdr>
                            <w:top w:val="none" w:sz="0" w:space="0" w:color="auto"/>
                            <w:left w:val="none" w:sz="0" w:space="0" w:color="auto"/>
                            <w:bottom w:val="none" w:sz="0" w:space="0" w:color="auto"/>
                            <w:right w:val="none" w:sz="0" w:space="0" w:color="auto"/>
                          </w:divBdr>
                          <w:divsChild>
                            <w:div w:id="778793237">
                              <w:marLeft w:val="0"/>
                              <w:marRight w:val="0"/>
                              <w:marTop w:val="0"/>
                              <w:marBottom w:val="0"/>
                              <w:divBdr>
                                <w:top w:val="none" w:sz="0" w:space="0" w:color="auto"/>
                                <w:left w:val="none" w:sz="0" w:space="0" w:color="auto"/>
                                <w:bottom w:val="none" w:sz="0" w:space="0" w:color="auto"/>
                                <w:right w:val="none" w:sz="0" w:space="0" w:color="auto"/>
                              </w:divBdr>
                              <w:divsChild>
                                <w:div w:id="2142650630">
                                  <w:marLeft w:val="0"/>
                                  <w:marRight w:val="0"/>
                                  <w:marTop w:val="0"/>
                                  <w:marBottom w:val="0"/>
                                  <w:divBdr>
                                    <w:top w:val="none" w:sz="0" w:space="0" w:color="auto"/>
                                    <w:left w:val="none" w:sz="0" w:space="0" w:color="auto"/>
                                    <w:bottom w:val="none" w:sz="0" w:space="0" w:color="auto"/>
                                    <w:right w:val="none" w:sz="0" w:space="0" w:color="auto"/>
                                  </w:divBdr>
                                  <w:divsChild>
                                    <w:div w:id="1325285011">
                                      <w:marLeft w:val="0"/>
                                      <w:marRight w:val="0"/>
                                      <w:marTop w:val="0"/>
                                      <w:marBottom w:val="400"/>
                                      <w:divBdr>
                                        <w:top w:val="none" w:sz="0" w:space="0" w:color="auto"/>
                                        <w:left w:val="none" w:sz="0" w:space="0" w:color="auto"/>
                                        <w:bottom w:val="none" w:sz="0" w:space="0" w:color="auto"/>
                                        <w:right w:val="none" w:sz="0" w:space="0" w:color="auto"/>
                                      </w:divBdr>
                                    </w:div>
                                    <w:div w:id="1130318652">
                                      <w:marLeft w:val="0"/>
                                      <w:marRight w:val="0"/>
                                      <w:marTop w:val="0"/>
                                      <w:marBottom w:val="400"/>
                                      <w:divBdr>
                                        <w:top w:val="none" w:sz="0" w:space="0" w:color="auto"/>
                                        <w:left w:val="none" w:sz="0" w:space="0" w:color="auto"/>
                                        <w:bottom w:val="none" w:sz="0" w:space="0" w:color="auto"/>
                                        <w:right w:val="none" w:sz="0" w:space="0" w:color="auto"/>
                                      </w:divBdr>
                                    </w:div>
                                    <w:div w:id="1027635131">
                                      <w:marLeft w:val="0"/>
                                      <w:marRight w:val="0"/>
                                      <w:marTop w:val="0"/>
                                      <w:marBottom w:val="0"/>
                                      <w:divBdr>
                                        <w:top w:val="none" w:sz="0" w:space="0" w:color="auto"/>
                                        <w:left w:val="none" w:sz="0" w:space="0" w:color="auto"/>
                                        <w:bottom w:val="none" w:sz="0" w:space="0" w:color="auto"/>
                                        <w:right w:val="none" w:sz="0" w:space="0" w:color="auto"/>
                                      </w:divBdr>
                                      <w:divsChild>
                                        <w:div w:id="1583684855">
                                          <w:marLeft w:val="0"/>
                                          <w:marRight w:val="0"/>
                                          <w:marTop w:val="0"/>
                                          <w:marBottom w:val="0"/>
                                          <w:divBdr>
                                            <w:top w:val="none" w:sz="0" w:space="0" w:color="auto"/>
                                            <w:left w:val="none" w:sz="0" w:space="0" w:color="auto"/>
                                            <w:bottom w:val="none" w:sz="0" w:space="0" w:color="auto"/>
                                            <w:right w:val="none" w:sz="0" w:space="0" w:color="auto"/>
                                          </w:divBdr>
                                          <w:divsChild>
                                            <w:div w:id="998728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75854">
                              <w:marLeft w:val="0"/>
                              <w:marRight w:val="0"/>
                              <w:marTop w:val="0"/>
                              <w:marBottom w:val="0"/>
                              <w:divBdr>
                                <w:top w:val="none" w:sz="0" w:space="0" w:color="auto"/>
                                <w:left w:val="none" w:sz="0" w:space="0" w:color="auto"/>
                                <w:bottom w:val="none" w:sz="0" w:space="0" w:color="auto"/>
                                <w:right w:val="none" w:sz="0" w:space="0" w:color="auto"/>
                              </w:divBdr>
                              <w:divsChild>
                                <w:div w:id="1437094760">
                                  <w:marLeft w:val="0"/>
                                  <w:marRight w:val="0"/>
                                  <w:marTop w:val="0"/>
                                  <w:marBottom w:val="200"/>
                                  <w:divBdr>
                                    <w:top w:val="none" w:sz="0" w:space="0" w:color="auto"/>
                                    <w:left w:val="none" w:sz="0" w:space="0" w:color="auto"/>
                                    <w:bottom w:val="none" w:sz="0" w:space="0" w:color="auto"/>
                                    <w:right w:val="none" w:sz="0" w:space="0" w:color="auto"/>
                                  </w:divBdr>
                                  <w:divsChild>
                                    <w:div w:id="165472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9978909">
      <w:bodyDiv w:val="1"/>
      <w:marLeft w:val="0"/>
      <w:marRight w:val="0"/>
      <w:marTop w:val="0"/>
      <w:marBottom w:val="0"/>
      <w:divBdr>
        <w:top w:val="none" w:sz="0" w:space="0" w:color="auto"/>
        <w:left w:val="none" w:sz="0" w:space="0" w:color="auto"/>
        <w:bottom w:val="none" w:sz="0" w:space="0" w:color="auto"/>
        <w:right w:val="none" w:sz="0" w:space="0" w:color="auto"/>
      </w:divBdr>
      <w:divsChild>
        <w:div w:id="2043703945">
          <w:marLeft w:val="0"/>
          <w:marRight w:val="0"/>
          <w:marTop w:val="75"/>
          <w:marBottom w:val="0"/>
          <w:divBdr>
            <w:top w:val="none" w:sz="0" w:space="0" w:color="auto"/>
            <w:left w:val="none" w:sz="0" w:space="0" w:color="auto"/>
            <w:bottom w:val="none" w:sz="0" w:space="0" w:color="auto"/>
            <w:right w:val="none" w:sz="0" w:space="0" w:color="auto"/>
          </w:divBdr>
        </w:div>
        <w:div w:id="59642149">
          <w:marLeft w:val="0"/>
          <w:marRight w:val="0"/>
          <w:marTop w:val="0"/>
          <w:marBottom w:val="150"/>
          <w:divBdr>
            <w:top w:val="none" w:sz="0" w:space="0" w:color="auto"/>
            <w:left w:val="none" w:sz="0" w:space="0" w:color="auto"/>
            <w:bottom w:val="single" w:sz="6" w:space="4" w:color="CCCCCC"/>
            <w:right w:val="none" w:sz="0" w:space="0" w:color="auto"/>
          </w:divBdr>
          <w:divsChild>
            <w:div w:id="74757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263177">
      <w:bodyDiv w:val="1"/>
      <w:marLeft w:val="0"/>
      <w:marRight w:val="0"/>
      <w:marTop w:val="0"/>
      <w:marBottom w:val="0"/>
      <w:divBdr>
        <w:top w:val="none" w:sz="0" w:space="0" w:color="auto"/>
        <w:left w:val="none" w:sz="0" w:space="0" w:color="auto"/>
        <w:bottom w:val="none" w:sz="0" w:space="0" w:color="auto"/>
        <w:right w:val="none" w:sz="0" w:space="0" w:color="auto"/>
      </w:divBdr>
    </w:div>
    <w:div w:id="988365377">
      <w:bodyDiv w:val="1"/>
      <w:marLeft w:val="0"/>
      <w:marRight w:val="0"/>
      <w:marTop w:val="0"/>
      <w:marBottom w:val="0"/>
      <w:divBdr>
        <w:top w:val="none" w:sz="0" w:space="0" w:color="auto"/>
        <w:left w:val="none" w:sz="0" w:space="0" w:color="auto"/>
        <w:bottom w:val="none" w:sz="0" w:space="0" w:color="auto"/>
        <w:right w:val="none" w:sz="0" w:space="0" w:color="auto"/>
      </w:divBdr>
    </w:div>
    <w:div w:id="1078820210">
      <w:bodyDiv w:val="1"/>
      <w:marLeft w:val="0"/>
      <w:marRight w:val="0"/>
      <w:marTop w:val="0"/>
      <w:marBottom w:val="0"/>
      <w:divBdr>
        <w:top w:val="none" w:sz="0" w:space="0" w:color="auto"/>
        <w:left w:val="none" w:sz="0" w:space="0" w:color="auto"/>
        <w:bottom w:val="none" w:sz="0" w:space="0" w:color="auto"/>
        <w:right w:val="none" w:sz="0" w:space="0" w:color="auto"/>
      </w:divBdr>
      <w:divsChild>
        <w:div w:id="852721468">
          <w:marLeft w:val="0"/>
          <w:marRight w:val="0"/>
          <w:marTop w:val="0"/>
          <w:marBottom w:val="300"/>
          <w:divBdr>
            <w:top w:val="none" w:sz="0" w:space="0" w:color="auto"/>
            <w:left w:val="none" w:sz="0" w:space="0" w:color="auto"/>
            <w:bottom w:val="single" w:sz="6" w:space="5" w:color="EEEEEE"/>
            <w:right w:val="none" w:sz="0" w:space="0" w:color="auto"/>
          </w:divBdr>
        </w:div>
      </w:divsChild>
    </w:div>
    <w:div w:id="1166676740">
      <w:bodyDiv w:val="1"/>
      <w:marLeft w:val="0"/>
      <w:marRight w:val="0"/>
      <w:marTop w:val="0"/>
      <w:marBottom w:val="0"/>
      <w:divBdr>
        <w:top w:val="none" w:sz="0" w:space="0" w:color="auto"/>
        <w:left w:val="none" w:sz="0" w:space="0" w:color="auto"/>
        <w:bottom w:val="none" w:sz="0" w:space="0" w:color="auto"/>
        <w:right w:val="none" w:sz="0" w:space="0" w:color="auto"/>
      </w:divBdr>
      <w:divsChild>
        <w:div w:id="90201527">
          <w:marLeft w:val="0"/>
          <w:marRight w:val="0"/>
          <w:marTop w:val="0"/>
          <w:marBottom w:val="0"/>
          <w:divBdr>
            <w:top w:val="none" w:sz="0" w:space="0" w:color="auto"/>
            <w:left w:val="none" w:sz="0" w:space="0" w:color="auto"/>
            <w:bottom w:val="none" w:sz="0" w:space="0" w:color="auto"/>
            <w:right w:val="none" w:sz="0" w:space="0" w:color="auto"/>
          </w:divBdr>
          <w:divsChild>
            <w:div w:id="127212359">
              <w:marLeft w:val="0"/>
              <w:marRight w:val="0"/>
              <w:marTop w:val="0"/>
              <w:marBottom w:val="0"/>
              <w:divBdr>
                <w:top w:val="none" w:sz="0" w:space="0" w:color="auto"/>
                <w:left w:val="none" w:sz="0" w:space="0" w:color="auto"/>
                <w:bottom w:val="none" w:sz="0" w:space="0" w:color="auto"/>
                <w:right w:val="none" w:sz="0" w:space="0" w:color="auto"/>
              </w:divBdr>
              <w:divsChild>
                <w:div w:id="1686520136">
                  <w:marLeft w:val="0"/>
                  <w:marRight w:val="0"/>
                  <w:marTop w:val="0"/>
                  <w:marBottom w:val="0"/>
                  <w:divBdr>
                    <w:top w:val="none" w:sz="0" w:space="0" w:color="auto"/>
                    <w:left w:val="none" w:sz="0" w:space="0" w:color="auto"/>
                    <w:bottom w:val="none" w:sz="0" w:space="0" w:color="auto"/>
                    <w:right w:val="none" w:sz="0" w:space="0" w:color="auto"/>
                  </w:divBdr>
                  <w:divsChild>
                    <w:div w:id="643464570">
                      <w:marLeft w:val="0"/>
                      <w:marRight w:val="0"/>
                      <w:marTop w:val="0"/>
                      <w:marBottom w:val="0"/>
                      <w:divBdr>
                        <w:top w:val="none" w:sz="0" w:space="0" w:color="auto"/>
                        <w:left w:val="none" w:sz="0" w:space="0" w:color="auto"/>
                        <w:bottom w:val="none" w:sz="0" w:space="0" w:color="auto"/>
                        <w:right w:val="none" w:sz="0" w:space="0" w:color="auto"/>
                      </w:divBdr>
                      <w:divsChild>
                        <w:div w:id="5600672">
                          <w:marLeft w:val="0"/>
                          <w:marRight w:val="0"/>
                          <w:marTop w:val="0"/>
                          <w:marBottom w:val="0"/>
                          <w:divBdr>
                            <w:top w:val="none" w:sz="0" w:space="0" w:color="auto"/>
                            <w:left w:val="none" w:sz="0" w:space="0" w:color="auto"/>
                            <w:bottom w:val="none" w:sz="0" w:space="0" w:color="auto"/>
                            <w:right w:val="none" w:sz="0" w:space="0" w:color="auto"/>
                          </w:divBdr>
                          <w:divsChild>
                            <w:div w:id="1357079018">
                              <w:marLeft w:val="0"/>
                              <w:marRight w:val="0"/>
                              <w:marTop w:val="0"/>
                              <w:marBottom w:val="0"/>
                              <w:divBdr>
                                <w:top w:val="none" w:sz="0" w:space="0" w:color="auto"/>
                                <w:left w:val="none" w:sz="0" w:space="0" w:color="auto"/>
                                <w:bottom w:val="none" w:sz="0" w:space="0" w:color="auto"/>
                                <w:right w:val="none" w:sz="0" w:space="0" w:color="auto"/>
                              </w:divBdr>
                              <w:divsChild>
                                <w:div w:id="1219436338">
                                  <w:marLeft w:val="0"/>
                                  <w:marRight w:val="0"/>
                                  <w:marTop w:val="0"/>
                                  <w:marBottom w:val="0"/>
                                  <w:divBdr>
                                    <w:top w:val="none" w:sz="0" w:space="0" w:color="auto"/>
                                    <w:left w:val="none" w:sz="0" w:space="0" w:color="auto"/>
                                    <w:bottom w:val="none" w:sz="0" w:space="0" w:color="auto"/>
                                    <w:right w:val="none" w:sz="0" w:space="0" w:color="auto"/>
                                  </w:divBdr>
                                  <w:divsChild>
                                    <w:div w:id="1730574920">
                                      <w:marLeft w:val="0"/>
                                      <w:marRight w:val="0"/>
                                      <w:marTop w:val="0"/>
                                      <w:marBottom w:val="0"/>
                                      <w:divBdr>
                                        <w:top w:val="none" w:sz="0" w:space="0" w:color="auto"/>
                                        <w:left w:val="none" w:sz="0" w:space="0" w:color="auto"/>
                                        <w:bottom w:val="none" w:sz="0" w:space="0" w:color="auto"/>
                                        <w:right w:val="none" w:sz="0" w:space="0" w:color="auto"/>
                                      </w:divBdr>
                                      <w:divsChild>
                                        <w:div w:id="2034575659">
                                          <w:marLeft w:val="0"/>
                                          <w:marRight w:val="0"/>
                                          <w:marTop w:val="0"/>
                                          <w:marBottom w:val="0"/>
                                          <w:divBdr>
                                            <w:top w:val="none" w:sz="0" w:space="0" w:color="auto"/>
                                            <w:left w:val="none" w:sz="0" w:space="0" w:color="auto"/>
                                            <w:bottom w:val="none" w:sz="0" w:space="0" w:color="auto"/>
                                            <w:right w:val="none" w:sz="0" w:space="0" w:color="auto"/>
                                          </w:divBdr>
                                          <w:divsChild>
                                            <w:div w:id="305430090">
                                              <w:marLeft w:val="0"/>
                                              <w:marRight w:val="0"/>
                                              <w:marTop w:val="0"/>
                                              <w:marBottom w:val="0"/>
                                              <w:divBdr>
                                                <w:top w:val="none" w:sz="0" w:space="0" w:color="auto"/>
                                                <w:left w:val="none" w:sz="0" w:space="0" w:color="auto"/>
                                                <w:bottom w:val="none" w:sz="0" w:space="0" w:color="auto"/>
                                                <w:right w:val="none" w:sz="0" w:space="0" w:color="auto"/>
                                              </w:divBdr>
                                              <w:divsChild>
                                                <w:div w:id="43151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1696959">
      <w:bodyDiv w:val="1"/>
      <w:marLeft w:val="0"/>
      <w:marRight w:val="0"/>
      <w:marTop w:val="0"/>
      <w:marBottom w:val="0"/>
      <w:divBdr>
        <w:top w:val="none" w:sz="0" w:space="0" w:color="auto"/>
        <w:left w:val="none" w:sz="0" w:space="0" w:color="auto"/>
        <w:bottom w:val="none" w:sz="0" w:space="0" w:color="auto"/>
        <w:right w:val="none" w:sz="0" w:space="0" w:color="auto"/>
      </w:divBdr>
    </w:div>
    <w:div w:id="1240401806">
      <w:bodyDiv w:val="1"/>
      <w:marLeft w:val="0"/>
      <w:marRight w:val="0"/>
      <w:marTop w:val="0"/>
      <w:marBottom w:val="0"/>
      <w:divBdr>
        <w:top w:val="none" w:sz="0" w:space="0" w:color="auto"/>
        <w:left w:val="none" w:sz="0" w:space="0" w:color="auto"/>
        <w:bottom w:val="none" w:sz="0" w:space="0" w:color="auto"/>
        <w:right w:val="none" w:sz="0" w:space="0" w:color="auto"/>
      </w:divBdr>
      <w:divsChild>
        <w:div w:id="1617905920">
          <w:marLeft w:val="0"/>
          <w:marRight w:val="0"/>
          <w:marTop w:val="0"/>
          <w:marBottom w:val="300"/>
          <w:divBdr>
            <w:top w:val="none" w:sz="0" w:space="0" w:color="auto"/>
            <w:left w:val="none" w:sz="0" w:space="0" w:color="auto"/>
            <w:bottom w:val="none" w:sz="0" w:space="0" w:color="auto"/>
            <w:right w:val="none" w:sz="0" w:space="0" w:color="auto"/>
          </w:divBdr>
          <w:divsChild>
            <w:div w:id="1095128569">
              <w:marLeft w:val="0"/>
              <w:marRight w:val="0"/>
              <w:marTop w:val="0"/>
              <w:marBottom w:val="0"/>
              <w:divBdr>
                <w:top w:val="none" w:sz="0" w:space="0" w:color="auto"/>
                <w:left w:val="none" w:sz="0" w:space="0" w:color="auto"/>
                <w:bottom w:val="none" w:sz="0" w:space="0" w:color="auto"/>
                <w:right w:val="none" w:sz="0" w:space="0" w:color="auto"/>
              </w:divBdr>
            </w:div>
          </w:divsChild>
        </w:div>
        <w:div w:id="1087117479">
          <w:marLeft w:val="0"/>
          <w:marRight w:val="0"/>
          <w:marTop w:val="0"/>
          <w:marBottom w:val="300"/>
          <w:divBdr>
            <w:top w:val="none" w:sz="0" w:space="0" w:color="auto"/>
            <w:left w:val="none" w:sz="0" w:space="0" w:color="auto"/>
            <w:bottom w:val="none" w:sz="0" w:space="0" w:color="auto"/>
            <w:right w:val="none" w:sz="0" w:space="0" w:color="auto"/>
          </w:divBdr>
          <w:divsChild>
            <w:div w:id="68120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492642">
      <w:bodyDiv w:val="1"/>
      <w:marLeft w:val="0"/>
      <w:marRight w:val="0"/>
      <w:marTop w:val="0"/>
      <w:marBottom w:val="0"/>
      <w:divBdr>
        <w:top w:val="none" w:sz="0" w:space="0" w:color="auto"/>
        <w:left w:val="none" w:sz="0" w:space="0" w:color="auto"/>
        <w:bottom w:val="none" w:sz="0" w:space="0" w:color="auto"/>
        <w:right w:val="none" w:sz="0" w:space="0" w:color="auto"/>
      </w:divBdr>
    </w:div>
    <w:div w:id="1250583758">
      <w:bodyDiv w:val="1"/>
      <w:marLeft w:val="0"/>
      <w:marRight w:val="0"/>
      <w:marTop w:val="0"/>
      <w:marBottom w:val="0"/>
      <w:divBdr>
        <w:top w:val="none" w:sz="0" w:space="0" w:color="auto"/>
        <w:left w:val="none" w:sz="0" w:space="0" w:color="auto"/>
        <w:bottom w:val="none" w:sz="0" w:space="0" w:color="auto"/>
        <w:right w:val="none" w:sz="0" w:space="0" w:color="auto"/>
      </w:divBdr>
      <w:divsChild>
        <w:div w:id="1500388171">
          <w:marLeft w:val="0"/>
          <w:marRight w:val="0"/>
          <w:marTop w:val="0"/>
          <w:marBottom w:val="0"/>
          <w:divBdr>
            <w:top w:val="none" w:sz="0" w:space="0" w:color="auto"/>
            <w:left w:val="none" w:sz="0" w:space="0" w:color="auto"/>
            <w:bottom w:val="none" w:sz="0" w:space="0" w:color="auto"/>
            <w:right w:val="none" w:sz="0" w:space="0" w:color="auto"/>
          </w:divBdr>
          <w:divsChild>
            <w:div w:id="1051225371">
              <w:marLeft w:val="0"/>
              <w:marRight w:val="0"/>
              <w:marTop w:val="0"/>
              <w:marBottom w:val="0"/>
              <w:divBdr>
                <w:top w:val="none" w:sz="0" w:space="0" w:color="auto"/>
                <w:left w:val="none" w:sz="0" w:space="0" w:color="auto"/>
                <w:bottom w:val="none" w:sz="0" w:space="0" w:color="auto"/>
                <w:right w:val="none" w:sz="0" w:space="0" w:color="auto"/>
              </w:divBdr>
            </w:div>
          </w:divsChild>
        </w:div>
        <w:div w:id="576014960">
          <w:marLeft w:val="0"/>
          <w:marRight w:val="0"/>
          <w:marTop w:val="0"/>
          <w:marBottom w:val="0"/>
          <w:divBdr>
            <w:top w:val="none" w:sz="0" w:space="0" w:color="auto"/>
            <w:left w:val="none" w:sz="0" w:space="0" w:color="auto"/>
            <w:bottom w:val="none" w:sz="0" w:space="0" w:color="auto"/>
            <w:right w:val="none" w:sz="0" w:space="0" w:color="auto"/>
          </w:divBdr>
        </w:div>
      </w:divsChild>
    </w:div>
    <w:div w:id="1312246903">
      <w:bodyDiv w:val="1"/>
      <w:marLeft w:val="0"/>
      <w:marRight w:val="0"/>
      <w:marTop w:val="0"/>
      <w:marBottom w:val="0"/>
      <w:divBdr>
        <w:top w:val="none" w:sz="0" w:space="0" w:color="auto"/>
        <w:left w:val="none" w:sz="0" w:space="0" w:color="auto"/>
        <w:bottom w:val="none" w:sz="0" w:space="0" w:color="auto"/>
        <w:right w:val="none" w:sz="0" w:space="0" w:color="auto"/>
      </w:divBdr>
    </w:div>
    <w:div w:id="1316229279">
      <w:bodyDiv w:val="1"/>
      <w:marLeft w:val="0"/>
      <w:marRight w:val="0"/>
      <w:marTop w:val="0"/>
      <w:marBottom w:val="0"/>
      <w:divBdr>
        <w:top w:val="none" w:sz="0" w:space="0" w:color="auto"/>
        <w:left w:val="none" w:sz="0" w:space="0" w:color="auto"/>
        <w:bottom w:val="none" w:sz="0" w:space="0" w:color="auto"/>
        <w:right w:val="none" w:sz="0" w:space="0" w:color="auto"/>
      </w:divBdr>
    </w:div>
    <w:div w:id="1322464956">
      <w:bodyDiv w:val="1"/>
      <w:marLeft w:val="0"/>
      <w:marRight w:val="0"/>
      <w:marTop w:val="0"/>
      <w:marBottom w:val="0"/>
      <w:divBdr>
        <w:top w:val="none" w:sz="0" w:space="0" w:color="auto"/>
        <w:left w:val="none" w:sz="0" w:space="0" w:color="auto"/>
        <w:bottom w:val="none" w:sz="0" w:space="0" w:color="auto"/>
        <w:right w:val="none" w:sz="0" w:space="0" w:color="auto"/>
      </w:divBdr>
    </w:div>
    <w:div w:id="1455515876">
      <w:bodyDiv w:val="1"/>
      <w:marLeft w:val="0"/>
      <w:marRight w:val="0"/>
      <w:marTop w:val="0"/>
      <w:marBottom w:val="0"/>
      <w:divBdr>
        <w:top w:val="none" w:sz="0" w:space="0" w:color="auto"/>
        <w:left w:val="none" w:sz="0" w:space="0" w:color="auto"/>
        <w:bottom w:val="none" w:sz="0" w:space="0" w:color="auto"/>
        <w:right w:val="none" w:sz="0" w:space="0" w:color="auto"/>
      </w:divBdr>
    </w:div>
    <w:div w:id="1457681291">
      <w:bodyDiv w:val="1"/>
      <w:marLeft w:val="0"/>
      <w:marRight w:val="0"/>
      <w:marTop w:val="0"/>
      <w:marBottom w:val="0"/>
      <w:divBdr>
        <w:top w:val="none" w:sz="0" w:space="0" w:color="auto"/>
        <w:left w:val="none" w:sz="0" w:space="0" w:color="auto"/>
        <w:bottom w:val="none" w:sz="0" w:space="0" w:color="auto"/>
        <w:right w:val="none" w:sz="0" w:space="0" w:color="auto"/>
      </w:divBdr>
      <w:divsChild>
        <w:div w:id="1086658590">
          <w:marLeft w:val="0"/>
          <w:marRight w:val="0"/>
          <w:marTop w:val="0"/>
          <w:marBottom w:val="0"/>
          <w:divBdr>
            <w:top w:val="none" w:sz="0" w:space="0" w:color="auto"/>
            <w:left w:val="none" w:sz="0" w:space="0" w:color="auto"/>
            <w:bottom w:val="none" w:sz="0" w:space="0" w:color="auto"/>
            <w:right w:val="none" w:sz="0" w:space="0" w:color="auto"/>
          </w:divBdr>
          <w:divsChild>
            <w:div w:id="370302127">
              <w:marLeft w:val="0"/>
              <w:marRight w:val="0"/>
              <w:marTop w:val="0"/>
              <w:marBottom w:val="0"/>
              <w:divBdr>
                <w:top w:val="none" w:sz="0" w:space="0" w:color="auto"/>
                <w:left w:val="none" w:sz="0" w:space="0" w:color="auto"/>
                <w:bottom w:val="none" w:sz="0" w:space="0" w:color="auto"/>
                <w:right w:val="none" w:sz="0" w:space="0" w:color="auto"/>
              </w:divBdr>
            </w:div>
            <w:div w:id="285743137">
              <w:marLeft w:val="0"/>
              <w:marRight w:val="0"/>
              <w:marTop w:val="0"/>
              <w:marBottom w:val="0"/>
              <w:divBdr>
                <w:top w:val="none" w:sz="0" w:space="0" w:color="auto"/>
                <w:left w:val="none" w:sz="0" w:space="0" w:color="auto"/>
                <w:bottom w:val="none" w:sz="0" w:space="0" w:color="auto"/>
                <w:right w:val="none" w:sz="0" w:space="0" w:color="auto"/>
              </w:divBdr>
              <w:divsChild>
                <w:div w:id="1207837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6288528">
      <w:bodyDiv w:val="1"/>
      <w:marLeft w:val="0"/>
      <w:marRight w:val="0"/>
      <w:marTop w:val="0"/>
      <w:marBottom w:val="0"/>
      <w:divBdr>
        <w:top w:val="none" w:sz="0" w:space="0" w:color="auto"/>
        <w:left w:val="none" w:sz="0" w:space="0" w:color="auto"/>
        <w:bottom w:val="none" w:sz="0" w:space="0" w:color="auto"/>
        <w:right w:val="none" w:sz="0" w:space="0" w:color="auto"/>
      </w:divBdr>
      <w:divsChild>
        <w:div w:id="1311207201">
          <w:marLeft w:val="0"/>
          <w:marRight w:val="0"/>
          <w:marTop w:val="0"/>
          <w:marBottom w:val="0"/>
          <w:divBdr>
            <w:top w:val="none" w:sz="0" w:space="0" w:color="auto"/>
            <w:left w:val="none" w:sz="0" w:space="0" w:color="auto"/>
            <w:bottom w:val="none" w:sz="0" w:space="0" w:color="auto"/>
            <w:right w:val="none" w:sz="0" w:space="0" w:color="auto"/>
          </w:divBdr>
          <w:divsChild>
            <w:div w:id="1962028386">
              <w:marLeft w:val="240"/>
              <w:marRight w:val="0"/>
              <w:marTop w:val="0"/>
              <w:marBottom w:val="0"/>
              <w:divBdr>
                <w:top w:val="none" w:sz="0" w:space="0" w:color="auto"/>
                <w:left w:val="none" w:sz="0" w:space="0" w:color="auto"/>
                <w:bottom w:val="none" w:sz="0" w:space="0" w:color="auto"/>
                <w:right w:val="none" w:sz="0" w:space="0" w:color="auto"/>
              </w:divBdr>
              <w:divsChild>
                <w:div w:id="198981909">
                  <w:marLeft w:val="0"/>
                  <w:marRight w:val="0"/>
                  <w:marTop w:val="0"/>
                  <w:marBottom w:val="0"/>
                  <w:divBdr>
                    <w:top w:val="none" w:sz="0" w:space="0" w:color="auto"/>
                    <w:left w:val="none" w:sz="0" w:space="0" w:color="auto"/>
                    <w:bottom w:val="none" w:sz="0" w:space="0" w:color="auto"/>
                    <w:right w:val="none" w:sz="0" w:space="0" w:color="auto"/>
                  </w:divBdr>
                  <w:divsChild>
                    <w:div w:id="1213809712">
                      <w:marLeft w:val="0"/>
                      <w:marRight w:val="0"/>
                      <w:marTop w:val="0"/>
                      <w:marBottom w:val="0"/>
                      <w:divBdr>
                        <w:top w:val="none" w:sz="0" w:space="0" w:color="auto"/>
                        <w:left w:val="none" w:sz="0" w:space="0" w:color="auto"/>
                        <w:bottom w:val="none" w:sz="0" w:space="0" w:color="auto"/>
                        <w:right w:val="none" w:sz="0" w:space="0" w:color="auto"/>
                      </w:divBdr>
                      <w:divsChild>
                        <w:div w:id="124946417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28528751">
              <w:marLeft w:val="0"/>
              <w:marRight w:val="0"/>
              <w:marTop w:val="0"/>
              <w:marBottom w:val="0"/>
              <w:divBdr>
                <w:top w:val="none" w:sz="0" w:space="0" w:color="auto"/>
                <w:left w:val="none" w:sz="0" w:space="0" w:color="auto"/>
                <w:bottom w:val="none" w:sz="0" w:space="0" w:color="auto"/>
                <w:right w:val="none" w:sz="0" w:space="0" w:color="auto"/>
              </w:divBdr>
              <w:divsChild>
                <w:div w:id="701244488">
                  <w:marLeft w:val="0"/>
                  <w:marRight w:val="0"/>
                  <w:marTop w:val="0"/>
                  <w:marBottom w:val="0"/>
                  <w:divBdr>
                    <w:top w:val="none" w:sz="0" w:space="0" w:color="auto"/>
                    <w:left w:val="none" w:sz="0" w:space="0" w:color="auto"/>
                    <w:bottom w:val="none" w:sz="0" w:space="0" w:color="auto"/>
                    <w:right w:val="none" w:sz="0" w:space="0" w:color="auto"/>
                  </w:divBdr>
                </w:div>
                <w:div w:id="5791642">
                  <w:marLeft w:val="0"/>
                  <w:marRight w:val="0"/>
                  <w:marTop w:val="0"/>
                  <w:marBottom w:val="0"/>
                  <w:divBdr>
                    <w:top w:val="none" w:sz="0" w:space="0" w:color="auto"/>
                    <w:left w:val="none" w:sz="0" w:space="0" w:color="auto"/>
                    <w:bottom w:val="none" w:sz="0" w:space="0" w:color="auto"/>
                    <w:right w:val="none" w:sz="0" w:space="0" w:color="auto"/>
                  </w:divBdr>
                </w:div>
                <w:div w:id="805247148">
                  <w:marLeft w:val="0"/>
                  <w:marRight w:val="0"/>
                  <w:marTop w:val="0"/>
                  <w:marBottom w:val="0"/>
                  <w:divBdr>
                    <w:top w:val="none" w:sz="0" w:space="0" w:color="auto"/>
                    <w:left w:val="none" w:sz="0" w:space="0" w:color="auto"/>
                    <w:bottom w:val="none" w:sz="0" w:space="0" w:color="auto"/>
                    <w:right w:val="none" w:sz="0" w:space="0" w:color="auto"/>
                  </w:divBdr>
                  <w:divsChild>
                    <w:div w:id="1363365879">
                      <w:marLeft w:val="0"/>
                      <w:marRight w:val="0"/>
                      <w:marTop w:val="0"/>
                      <w:marBottom w:val="0"/>
                      <w:divBdr>
                        <w:top w:val="none" w:sz="0" w:space="0" w:color="auto"/>
                        <w:left w:val="none" w:sz="0" w:space="0" w:color="auto"/>
                        <w:bottom w:val="none" w:sz="0" w:space="0" w:color="auto"/>
                        <w:right w:val="none" w:sz="0" w:space="0" w:color="auto"/>
                      </w:divBdr>
                    </w:div>
                    <w:div w:id="134933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474522">
      <w:bodyDiv w:val="1"/>
      <w:marLeft w:val="0"/>
      <w:marRight w:val="0"/>
      <w:marTop w:val="0"/>
      <w:marBottom w:val="0"/>
      <w:divBdr>
        <w:top w:val="none" w:sz="0" w:space="0" w:color="auto"/>
        <w:left w:val="none" w:sz="0" w:space="0" w:color="auto"/>
        <w:bottom w:val="none" w:sz="0" w:space="0" w:color="auto"/>
        <w:right w:val="none" w:sz="0" w:space="0" w:color="auto"/>
      </w:divBdr>
      <w:divsChild>
        <w:div w:id="1779763353">
          <w:marLeft w:val="0"/>
          <w:marRight w:val="0"/>
          <w:marTop w:val="0"/>
          <w:marBottom w:val="0"/>
          <w:divBdr>
            <w:top w:val="none" w:sz="0" w:space="0" w:color="auto"/>
            <w:left w:val="none" w:sz="0" w:space="0" w:color="auto"/>
            <w:bottom w:val="none" w:sz="0" w:space="0" w:color="auto"/>
            <w:right w:val="none" w:sz="0" w:space="0" w:color="auto"/>
          </w:divBdr>
          <w:divsChild>
            <w:div w:id="710110232">
              <w:marLeft w:val="0"/>
              <w:marRight w:val="0"/>
              <w:marTop w:val="0"/>
              <w:marBottom w:val="0"/>
              <w:divBdr>
                <w:top w:val="none" w:sz="0" w:space="0" w:color="auto"/>
                <w:left w:val="none" w:sz="0" w:space="0" w:color="auto"/>
                <w:bottom w:val="none" w:sz="0" w:space="0" w:color="auto"/>
                <w:right w:val="none" w:sz="0" w:space="0" w:color="auto"/>
              </w:divBdr>
              <w:divsChild>
                <w:div w:id="1910846395">
                  <w:marLeft w:val="0"/>
                  <w:marRight w:val="0"/>
                  <w:marTop w:val="0"/>
                  <w:marBottom w:val="0"/>
                  <w:divBdr>
                    <w:top w:val="none" w:sz="0" w:space="0" w:color="auto"/>
                    <w:left w:val="none" w:sz="0" w:space="0" w:color="auto"/>
                    <w:bottom w:val="none" w:sz="0" w:space="0" w:color="auto"/>
                    <w:right w:val="none" w:sz="0" w:space="0" w:color="auto"/>
                  </w:divBdr>
                  <w:divsChild>
                    <w:div w:id="1736465157">
                      <w:marLeft w:val="0"/>
                      <w:marRight w:val="0"/>
                      <w:marTop w:val="150"/>
                      <w:marBottom w:val="150"/>
                      <w:divBdr>
                        <w:top w:val="none" w:sz="0" w:space="0" w:color="auto"/>
                        <w:left w:val="none" w:sz="0" w:space="0" w:color="auto"/>
                        <w:bottom w:val="none" w:sz="0" w:space="0" w:color="auto"/>
                        <w:right w:val="none" w:sz="0" w:space="0" w:color="auto"/>
                      </w:divBdr>
                      <w:divsChild>
                        <w:div w:id="1121534926">
                          <w:marLeft w:val="0"/>
                          <w:marRight w:val="0"/>
                          <w:marTop w:val="0"/>
                          <w:marBottom w:val="0"/>
                          <w:divBdr>
                            <w:top w:val="none" w:sz="0" w:space="0" w:color="auto"/>
                            <w:left w:val="none" w:sz="0" w:space="0" w:color="auto"/>
                            <w:bottom w:val="none" w:sz="0" w:space="0" w:color="auto"/>
                            <w:right w:val="none" w:sz="0" w:space="0" w:color="auto"/>
                          </w:divBdr>
                        </w:div>
                        <w:div w:id="106850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271437">
      <w:bodyDiv w:val="1"/>
      <w:marLeft w:val="0"/>
      <w:marRight w:val="0"/>
      <w:marTop w:val="0"/>
      <w:marBottom w:val="0"/>
      <w:divBdr>
        <w:top w:val="none" w:sz="0" w:space="0" w:color="auto"/>
        <w:left w:val="none" w:sz="0" w:space="0" w:color="auto"/>
        <w:bottom w:val="none" w:sz="0" w:space="0" w:color="auto"/>
        <w:right w:val="none" w:sz="0" w:space="0" w:color="auto"/>
      </w:divBdr>
      <w:divsChild>
        <w:div w:id="1780567902">
          <w:marLeft w:val="0"/>
          <w:marRight w:val="0"/>
          <w:marTop w:val="0"/>
          <w:marBottom w:val="0"/>
          <w:divBdr>
            <w:top w:val="none" w:sz="0" w:space="0" w:color="auto"/>
            <w:left w:val="none" w:sz="0" w:space="0" w:color="auto"/>
            <w:bottom w:val="none" w:sz="0" w:space="0" w:color="auto"/>
            <w:right w:val="none" w:sz="0" w:space="0" w:color="auto"/>
          </w:divBdr>
        </w:div>
        <w:div w:id="741685578">
          <w:marLeft w:val="0"/>
          <w:marRight w:val="0"/>
          <w:marTop w:val="0"/>
          <w:marBottom w:val="0"/>
          <w:divBdr>
            <w:top w:val="none" w:sz="0" w:space="0" w:color="auto"/>
            <w:left w:val="none" w:sz="0" w:space="0" w:color="auto"/>
            <w:bottom w:val="none" w:sz="0" w:space="0" w:color="auto"/>
            <w:right w:val="none" w:sz="0" w:space="0" w:color="auto"/>
          </w:divBdr>
          <w:divsChild>
            <w:div w:id="1033312185">
              <w:marLeft w:val="0"/>
              <w:marRight w:val="0"/>
              <w:marTop w:val="0"/>
              <w:marBottom w:val="0"/>
              <w:divBdr>
                <w:top w:val="none" w:sz="0" w:space="0" w:color="auto"/>
                <w:left w:val="none" w:sz="0" w:space="0" w:color="auto"/>
                <w:bottom w:val="none" w:sz="0" w:space="0" w:color="auto"/>
                <w:right w:val="none" w:sz="0" w:space="0" w:color="auto"/>
              </w:divBdr>
              <w:divsChild>
                <w:div w:id="1175223690">
                  <w:marLeft w:val="0"/>
                  <w:marRight w:val="0"/>
                  <w:marTop w:val="0"/>
                  <w:marBottom w:val="0"/>
                  <w:divBdr>
                    <w:top w:val="none" w:sz="0" w:space="0" w:color="auto"/>
                    <w:left w:val="none" w:sz="0" w:space="0" w:color="auto"/>
                    <w:bottom w:val="none" w:sz="0" w:space="0" w:color="auto"/>
                    <w:right w:val="none" w:sz="0" w:space="0" w:color="auto"/>
                  </w:divBdr>
                  <w:divsChild>
                    <w:div w:id="337587755">
                      <w:marLeft w:val="0"/>
                      <w:marRight w:val="0"/>
                      <w:marTop w:val="0"/>
                      <w:marBottom w:val="450"/>
                      <w:divBdr>
                        <w:top w:val="none" w:sz="0" w:space="0" w:color="auto"/>
                        <w:left w:val="none" w:sz="0" w:space="0" w:color="auto"/>
                        <w:bottom w:val="none" w:sz="0" w:space="0" w:color="auto"/>
                        <w:right w:val="none" w:sz="0" w:space="0" w:color="auto"/>
                      </w:divBdr>
                      <w:divsChild>
                        <w:div w:id="856232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1488346">
      <w:bodyDiv w:val="1"/>
      <w:marLeft w:val="0"/>
      <w:marRight w:val="0"/>
      <w:marTop w:val="0"/>
      <w:marBottom w:val="0"/>
      <w:divBdr>
        <w:top w:val="none" w:sz="0" w:space="0" w:color="auto"/>
        <w:left w:val="none" w:sz="0" w:space="0" w:color="auto"/>
        <w:bottom w:val="none" w:sz="0" w:space="0" w:color="auto"/>
        <w:right w:val="none" w:sz="0" w:space="0" w:color="auto"/>
      </w:divBdr>
      <w:divsChild>
        <w:div w:id="1013142688">
          <w:marLeft w:val="0"/>
          <w:marRight w:val="0"/>
          <w:marTop w:val="0"/>
          <w:marBottom w:val="0"/>
          <w:divBdr>
            <w:top w:val="none" w:sz="0" w:space="0" w:color="auto"/>
            <w:left w:val="none" w:sz="0" w:space="0" w:color="auto"/>
            <w:bottom w:val="none" w:sz="0" w:space="0" w:color="auto"/>
            <w:right w:val="none" w:sz="0" w:space="0" w:color="auto"/>
          </w:divBdr>
          <w:divsChild>
            <w:div w:id="788470851">
              <w:marLeft w:val="0"/>
              <w:marRight w:val="0"/>
              <w:marTop w:val="0"/>
              <w:marBottom w:val="0"/>
              <w:divBdr>
                <w:top w:val="none" w:sz="0" w:space="0" w:color="auto"/>
                <w:left w:val="none" w:sz="0" w:space="0" w:color="auto"/>
                <w:bottom w:val="none" w:sz="0" w:space="0" w:color="auto"/>
                <w:right w:val="none" w:sz="0" w:space="0" w:color="auto"/>
              </w:divBdr>
            </w:div>
          </w:divsChild>
        </w:div>
        <w:div w:id="5687345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15D6A0-F4D0-4BEC-A9EB-DDE879D3EE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10</Pages>
  <Words>2621</Words>
  <Characters>14156</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 Schulman</dc:creator>
  <cp:keywords/>
  <dc:description/>
  <cp:lastModifiedBy>Gabriel Schulman</cp:lastModifiedBy>
  <cp:revision>11</cp:revision>
  <dcterms:created xsi:type="dcterms:W3CDTF">2020-12-14T12:46:00Z</dcterms:created>
  <dcterms:modified xsi:type="dcterms:W3CDTF">2020-12-14T14:48:00Z</dcterms:modified>
</cp:coreProperties>
</file>